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7CA8B3" w14:textId="77777777" w:rsidR="00211ED4" w:rsidRPr="00EB221F" w:rsidRDefault="008F778A" w:rsidP="00E72BE8">
      <w:pPr>
        <w:spacing w:after="120"/>
        <w:jc w:val="center"/>
        <w:rPr>
          <w:rFonts w:ascii="Arial Narrow" w:hAnsi="Arial Narrow"/>
          <w:lang w:val="hr-HR"/>
        </w:rPr>
      </w:pPr>
      <w:r w:rsidRPr="00EB221F">
        <w:rPr>
          <w:rFonts w:ascii="Arial" w:hAnsi="Arial" w:cs="Arial"/>
          <w:noProof/>
          <w:lang w:val="hr-HR" w:eastAsia="en-GB"/>
        </w:rPr>
        <w:drawing>
          <wp:anchor distT="0" distB="0" distL="114300" distR="114300" simplePos="0" relativeHeight="251658240" behindDoc="1" locked="0" layoutInCell="1" allowOverlap="1" wp14:anchorId="535C467B" wp14:editId="1608CFC7">
            <wp:simplePos x="0" y="0"/>
            <wp:positionH relativeFrom="column">
              <wp:posOffset>2621280</wp:posOffset>
            </wp:positionH>
            <wp:positionV relativeFrom="paragraph">
              <wp:posOffset>0</wp:posOffset>
            </wp:positionV>
            <wp:extent cx="483870" cy="502920"/>
            <wp:effectExtent l="0" t="0" r="0" b="0"/>
            <wp:wrapTopAndBottom/>
            <wp:docPr id="3" name="Picture 1" descr="02KOLO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KOLO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3870" cy="502920"/>
                    </a:xfrm>
                    <a:prstGeom prst="rect">
                      <a:avLst/>
                    </a:prstGeom>
                    <a:noFill/>
                    <a:ln w="9525">
                      <a:noFill/>
                      <a:miter lim="800000"/>
                      <a:headEnd/>
                      <a:tailEnd/>
                    </a:ln>
                  </pic:spPr>
                </pic:pic>
              </a:graphicData>
            </a:graphic>
          </wp:anchor>
        </w:drawing>
      </w:r>
      <w:r w:rsidRPr="00EB221F">
        <w:rPr>
          <w:rFonts w:ascii="Arial Narrow" w:hAnsi="Arial Narrow"/>
          <w:b/>
          <w:lang w:val="hr-HR"/>
        </w:rPr>
        <w:t>Vlada</w:t>
      </w:r>
      <w:r w:rsidR="00211ED4" w:rsidRPr="00EB221F">
        <w:rPr>
          <w:rFonts w:ascii="Arial Narrow" w:hAnsi="Arial Narrow"/>
          <w:b/>
          <w:lang w:val="hr-HR"/>
        </w:rPr>
        <w:t xml:space="preserve"> Crne Gore</w:t>
      </w:r>
    </w:p>
    <w:p w14:paraId="0A609CD1" w14:textId="77777777" w:rsidR="008F778A" w:rsidRPr="00EB221F" w:rsidRDefault="008F778A" w:rsidP="008F778A">
      <w:pPr>
        <w:spacing w:after="120"/>
        <w:jc w:val="center"/>
        <w:rPr>
          <w:rFonts w:ascii="Arial Narrow" w:hAnsi="Arial Narrow"/>
          <w:b/>
          <w:lang w:val="hr-HR"/>
        </w:rPr>
      </w:pPr>
      <w:r w:rsidRPr="00EB221F">
        <w:rPr>
          <w:rFonts w:ascii="Arial Narrow" w:hAnsi="Arial Narrow"/>
          <w:b/>
          <w:lang w:val="hr-HR"/>
        </w:rPr>
        <w:t>Generalni sekretarijat</w:t>
      </w:r>
    </w:p>
    <w:p w14:paraId="376CC3D6" w14:textId="77777777" w:rsidR="008F778A" w:rsidRPr="00EB221F" w:rsidRDefault="008F778A" w:rsidP="008F778A">
      <w:pPr>
        <w:spacing w:after="120"/>
        <w:jc w:val="center"/>
        <w:rPr>
          <w:rFonts w:ascii="Arial Narrow" w:hAnsi="Arial Narrow"/>
          <w:lang w:val="hr-HR"/>
        </w:rPr>
      </w:pPr>
    </w:p>
    <w:p w14:paraId="62A1AE46" w14:textId="67614337" w:rsidR="00211ED4" w:rsidRPr="00EB221F" w:rsidRDefault="00211ED4" w:rsidP="00AF2F59">
      <w:pPr>
        <w:spacing w:after="120"/>
        <w:jc w:val="center"/>
        <w:rPr>
          <w:rFonts w:ascii="Arial Narrow" w:hAnsi="Arial Narrow"/>
          <w:lang w:val="hr-HR"/>
        </w:rPr>
      </w:pPr>
      <w:r w:rsidRPr="00EB221F">
        <w:rPr>
          <w:rFonts w:ascii="Arial Narrow" w:hAnsi="Arial Narrow"/>
          <w:lang w:val="hr-HR"/>
        </w:rPr>
        <w:t>Obrazac za dostavljanje primjedbi, pr</w:t>
      </w:r>
      <w:r w:rsidR="00EB221F">
        <w:rPr>
          <w:rFonts w:ascii="Arial Narrow" w:hAnsi="Arial Narrow"/>
          <w:lang w:val="hr-HR"/>
        </w:rPr>
        <w:t>ij</w:t>
      </w:r>
      <w:r w:rsidRPr="00EB221F">
        <w:rPr>
          <w:rFonts w:ascii="Arial Narrow" w:hAnsi="Arial Narrow"/>
          <w:lang w:val="hr-HR"/>
        </w:rPr>
        <w:t>edloga i sugestija javnosti</w:t>
      </w:r>
      <w:r w:rsidR="008F778A" w:rsidRPr="00EB221F">
        <w:rPr>
          <w:rFonts w:ascii="Arial Narrow" w:hAnsi="Arial Narrow"/>
          <w:lang w:val="hr-HR"/>
        </w:rPr>
        <w:t xml:space="preserve"> za</w:t>
      </w:r>
    </w:p>
    <w:p w14:paraId="6FA7A2D8" w14:textId="77777777" w:rsidR="00211ED4" w:rsidRPr="00EB221F" w:rsidRDefault="00211ED4" w:rsidP="008F778A">
      <w:pPr>
        <w:spacing w:after="120"/>
        <w:jc w:val="center"/>
        <w:rPr>
          <w:rFonts w:ascii="Arial Narrow" w:hAnsi="Arial Narrow"/>
          <w:b/>
          <w:lang w:val="hr-HR"/>
        </w:rPr>
      </w:pPr>
      <w:r w:rsidRPr="00EB221F">
        <w:rPr>
          <w:rFonts w:ascii="Arial Narrow" w:hAnsi="Arial Narrow"/>
          <w:b/>
          <w:lang w:val="hr-HR"/>
        </w:rPr>
        <w:t>PROGRAM RADA VLADE ZA 2021. GODINU</w:t>
      </w:r>
    </w:p>
    <w:p w14:paraId="0D1F3C7F" w14:textId="77777777" w:rsidR="00211ED4" w:rsidRPr="00EB221F" w:rsidRDefault="00211ED4" w:rsidP="008F778A">
      <w:pPr>
        <w:spacing w:after="120"/>
        <w:jc w:val="both"/>
        <w:rPr>
          <w:rFonts w:ascii="Arial Narrow" w:hAnsi="Arial Narrow"/>
          <w:lang w:val="hr-HR"/>
        </w:rPr>
      </w:pPr>
    </w:p>
    <w:p w14:paraId="026089B7" w14:textId="354D451D" w:rsidR="00C52BEF" w:rsidRPr="00EB221F" w:rsidRDefault="00211ED4" w:rsidP="00AF2F59">
      <w:pPr>
        <w:spacing w:after="120"/>
        <w:jc w:val="both"/>
        <w:rPr>
          <w:rFonts w:ascii="Arial Narrow" w:hAnsi="Arial Narrow"/>
          <w:lang w:val="hr-HR"/>
        </w:rPr>
      </w:pPr>
      <w:r w:rsidRPr="00EB221F">
        <w:rPr>
          <w:rFonts w:ascii="Arial Narrow" w:hAnsi="Arial Narrow"/>
          <w:lang w:val="hr-HR"/>
        </w:rPr>
        <w:t>Ime i prezime fizičkog lica/naziv organa, organizaci</w:t>
      </w:r>
      <w:r w:rsidR="00E72BE8" w:rsidRPr="00EB221F">
        <w:rPr>
          <w:rFonts w:ascii="Arial Narrow" w:hAnsi="Arial Narrow"/>
          <w:lang w:val="hr-HR"/>
        </w:rPr>
        <w:t>je ili udruženja koji dostavlja</w:t>
      </w:r>
      <w:r w:rsidR="00AF2F59" w:rsidRPr="00EB221F">
        <w:rPr>
          <w:rFonts w:ascii="Arial Narrow" w:hAnsi="Arial Narrow"/>
          <w:lang w:val="hr-HR"/>
        </w:rPr>
        <w:t xml:space="preserve"> </w:t>
      </w:r>
      <w:r w:rsidRPr="00EB221F">
        <w:rPr>
          <w:rFonts w:ascii="Arial Narrow" w:hAnsi="Arial Narrow"/>
          <w:lang w:val="hr-HR"/>
        </w:rPr>
        <w:t>pr</w:t>
      </w:r>
      <w:r w:rsidR="00EB221F">
        <w:rPr>
          <w:rFonts w:ascii="Arial Narrow" w:hAnsi="Arial Narrow"/>
          <w:lang w:val="hr-HR"/>
        </w:rPr>
        <w:t>ij</w:t>
      </w:r>
      <w:r w:rsidRPr="00EB221F">
        <w:rPr>
          <w:rFonts w:ascii="Arial Narrow" w:hAnsi="Arial Narrow"/>
          <w:lang w:val="hr-HR"/>
        </w:rPr>
        <w:t xml:space="preserve">edloge i sugestije, </w:t>
      </w:r>
    </w:p>
    <w:p w14:paraId="4C8FE016" w14:textId="4750A909" w:rsidR="00E72BE8" w:rsidRPr="00EB221F" w:rsidRDefault="00A75734" w:rsidP="008F778A">
      <w:pPr>
        <w:spacing w:after="120"/>
        <w:jc w:val="both"/>
        <w:rPr>
          <w:rFonts w:ascii="Arial Narrow" w:hAnsi="Arial Narrow"/>
          <w:u w:val="single"/>
          <w:lang w:val="hr-HR"/>
        </w:rPr>
      </w:pPr>
      <w:r w:rsidRPr="00EB221F">
        <w:rPr>
          <w:rFonts w:ascii="Arial Narrow" w:hAnsi="Arial Narrow"/>
          <w:u w:val="single"/>
          <w:lang w:val="hr-HR"/>
        </w:rPr>
        <w:t>Institut alternativa</w:t>
      </w:r>
    </w:p>
    <w:p w14:paraId="1E4FD5D3" w14:textId="77777777" w:rsidR="00A75734" w:rsidRPr="00EB221F" w:rsidRDefault="00A75734" w:rsidP="008F778A">
      <w:pPr>
        <w:spacing w:after="120"/>
        <w:jc w:val="both"/>
        <w:rPr>
          <w:rFonts w:ascii="Arial Narrow" w:hAnsi="Arial Narrow"/>
          <w:lang w:val="hr-HR"/>
        </w:rPr>
      </w:pPr>
    </w:p>
    <w:p w14:paraId="0CA53B53" w14:textId="39E1964D" w:rsidR="00A75734" w:rsidRPr="00EB221F" w:rsidRDefault="00E72BE8" w:rsidP="008F778A">
      <w:pPr>
        <w:spacing w:after="120"/>
        <w:jc w:val="both"/>
        <w:rPr>
          <w:rFonts w:ascii="Arial Narrow" w:hAnsi="Arial Narrow"/>
          <w:lang w:val="hr-HR"/>
        </w:rPr>
      </w:pPr>
      <w:r w:rsidRPr="00EB221F">
        <w:rPr>
          <w:rFonts w:ascii="Arial Narrow" w:hAnsi="Arial Narrow"/>
          <w:lang w:val="hr-HR"/>
        </w:rPr>
        <w:t xml:space="preserve">Kontakt: </w:t>
      </w:r>
    </w:p>
    <w:p w14:paraId="46948516" w14:textId="04FA2D37" w:rsidR="00E72BE8" w:rsidRPr="00EB221F" w:rsidRDefault="00A75734" w:rsidP="008F778A">
      <w:pPr>
        <w:spacing w:after="120"/>
        <w:jc w:val="both"/>
        <w:rPr>
          <w:rFonts w:ascii="Arial Narrow" w:hAnsi="Arial Narrow"/>
          <w:lang w:val="hr-HR"/>
        </w:rPr>
      </w:pPr>
      <w:r w:rsidRPr="00EB221F">
        <w:rPr>
          <w:rFonts w:ascii="Arial Narrow" w:hAnsi="Arial Narrow"/>
          <w:lang w:val="hr-HR"/>
        </w:rPr>
        <w:t>info@institut-alternativa.org, 020 268 686</w:t>
      </w:r>
    </w:p>
    <w:p w14:paraId="6B32552A" w14:textId="77777777" w:rsidR="00A75734" w:rsidRPr="00EB221F" w:rsidRDefault="00A75734" w:rsidP="008F778A">
      <w:pPr>
        <w:spacing w:after="120"/>
        <w:jc w:val="both"/>
        <w:rPr>
          <w:rFonts w:ascii="Arial Narrow" w:hAnsi="Arial Narrow"/>
          <w:lang w:val="hr-HR"/>
        </w:rPr>
      </w:pPr>
    </w:p>
    <w:p w14:paraId="033CBA80" w14:textId="0AEEB623" w:rsidR="00211ED4" w:rsidRPr="00EB221F" w:rsidRDefault="00211ED4" w:rsidP="008F778A">
      <w:pPr>
        <w:spacing w:after="120"/>
        <w:jc w:val="both"/>
        <w:rPr>
          <w:rFonts w:ascii="Arial Narrow" w:hAnsi="Arial Narrow"/>
          <w:lang w:val="hr-HR"/>
        </w:rPr>
      </w:pPr>
      <w:r w:rsidRPr="00EB221F">
        <w:rPr>
          <w:rFonts w:ascii="Arial Narrow" w:hAnsi="Arial Narrow"/>
          <w:lang w:val="hr-HR"/>
        </w:rPr>
        <w:t>Prioritet/i iz koncepta Programa rada Vlade 2021. na koji se odnosi primjedba/ pr</w:t>
      </w:r>
      <w:r w:rsidR="00EB221F">
        <w:rPr>
          <w:rFonts w:ascii="Arial Narrow" w:hAnsi="Arial Narrow"/>
          <w:lang w:val="hr-HR"/>
        </w:rPr>
        <w:t>ij</w:t>
      </w:r>
      <w:r w:rsidRPr="00EB221F">
        <w:rPr>
          <w:rFonts w:ascii="Arial Narrow" w:hAnsi="Arial Narrow"/>
          <w:lang w:val="hr-HR"/>
        </w:rPr>
        <w:t>edlog/ sugestija.</w:t>
      </w:r>
    </w:p>
    <w:p w14:paraId="4BCB6896" w14:textId="77777777" w:rsidR="00211ED4" w:rsidRPr="00EB221F" w:rsidRDefault="00211ED4" w:rsidP="008F778A">
      <w:pPr>
        <w:pStyle w:val="ListParagraph"/>
        <w:numPr>
          <w:ilvl w:val="0"/>
          <w:numId w:val="1"/>
        </w:numPr>
        <w:spacing w:after="120"/>
        <w:jc w:val="both"/>
        <w:rPr>
          <w:rFonts w:ascii="Arial Narrow" w:hAnsi="Arial Narrow"/>
          <w:b/>
          <w:bCs/>
          <w:highlight w:val="yellow"/>
          <w:lang w:val="hr-HR"/>
        </w:rPr>
      </w:pPr>
      <w:r w:rsidRPr="00EB221F">
        <w:rPr>
          <w:rFonts w:ascii="Arial Narrow" w:hAnsi="Arial Narrow"/>
          <w:b/>
          <w:bCs/>
          <w:highlight w:val="yellow"/>
          <w:lang w:val="hr-HR"/>
        </w:rPr>
        <w:t>Vladavina prava i jednake šanse</w:t>
      </w:r>
    </w:p>
    <w:p w14:paraId="55782327" w14:textId="77777777" w:rsidR="00211ED4" w:rsidRPr="00EB221F" w:rsidRDefault="00211ED4" w:rsidP="008F778A">
      <w:pPr>
        <w:pStyle w:val="ListParagraph"/>
        <w:numPr>
          <w:ilvl w:val="0"/>
          <w:numId w:val="1"/>
        </w:numPr>
        <w:spacing w:after="120"/>
        <w:jc w:val="both"/>
        <w:rPr>
          <w:rFonts w:ascii="Arial Narrow" w:hAnsi="Arial Narrow"/>
          <w:b/>
          <w:bCs/>
          <w:highlight w:val="yellow"/>
          <w:lang w:val="hr-HR"/>
        </w:rPr>
      </w:pPr>
      <w:r w:rsidRPr="00EB221F">
        <w:rPr>
          <w:rFonts w:ascii="Arial Narrow" w:hAnsi="Arial Narrow"/>
          <w:b/>
          <w:bCs/>
          <w:highlight w:val="yellow"/>
          <w:lang w:val="hr-HR"/>
        </w:rPr>
        <w:t xml:space="preserve">Zdrave </w:t>
      </w:r>
      <w:proofErr w:type="spellStart"/>
      <w:r w:rsidRPr="00EB221F">
        <w:rPr>
          <w:rFonts w:ascii="Arial Narrow" w:hAnsi="Arial Narrow"/>
          <w:b/>
          <w:bCs/>
          <w:highlight w:val="yellow"/>
          <w:lang w:val="hr-HR"/>
        </w:rPr>
        <w:t>finansije</w:t>
      </w:r>
      <w:proofErr w:type="spellEnd"/>
      <w:r w:rsidRPr="00EB221F">
        <w:rPr>
          <w:rFonts w:ascii="Arial Narrow" w:hAnsi="Arial Narrow"/>
          <w:b/>
          <w:bCs/>
          <w:highlight w:val="yellow"/>
          <w:lang w:val="hr-HR"/>
        </w:rPr>
        <w:t xml:space="preserve"> i ekonomski razvoj</w:t>
      </w:r>
    </w:p>
    <w:p w14:paraId="7CE965C8" w14:textId="77777777" w:rsidR="00211ED4" w:rsidRPr="00EB221F" w:rsidRDefault="00211ED4" w:rsidP="008F778A">
      <w:pPr>
        <w:pStyle w:val="ListParagraph"/>
        <w:numPr>
          <w:ilvl w:val="0"/>
          <w:numId w:val="1"/>
        </w:numPr>
        <w:spacing w:after="120"/>
        <w:jc w:val="both"/>
        <w:rPr>
          <w:rFonts w:ascii="Arial Narrow" w:hAnsi="Arial Narrow"/>
          <w:lang w:val="hr-HR"/>
        </w:rPr>
      </w:pPr>
      <w:r w:rsidRPr="00EB221F">
        <w:rPr>
          <w:rFonts w:ascii="Arial Narrow" w:hAnsi="Arial Narrow"/>
          <w:lang w:val="hr-HR"/>
        </w:rPr>
        <w:t>Zdravlje i zdrava životna sredina</w:t>
      </w:r>
    </w:p>
    <w:p w14:paraId="20F2A8F6" w14:textId="77777777" w:rsidR="00211ED4" w:rsidRPr="00EB221F" w:rsidRDefault="00211ED4" w:rsidP="008F778A">
      <w:pPr>
        <w:pStyle w:val="ListParagraph"/>
        <w:numPr>
          <w:ilvl w:val="0"/>
          <w:numId w:val="1"/>
        </w:numPr>
        <w:spacing w:after="120"/>
        <w:jc w:val="both"/>
        <w:rPr>
          <w:rFonts w:ascii="Arial Narrow" w:hAnsi="Arial Narrow"/>
          <w:lang w:val="hr-HR"/>
        </w:rPr>
      </w:pPr>
      <w:r w:rsidRPr="00EB221F">
        <w:rPr>
          <w:rFonts w:ascii="Arial Narrow" w:hAnsi="Arial Narrow"/>
          <w:lang w:val="hr-HR"/>
        </w:rPr>
        <w:t>Obrazovanje i društvo zasnovano na znanju</w:t>
      </w:r>
    </w:p>
    <w:p w14:paraId="1848B039" w14:textId="77777777" w:rsidR="00E72BE8" w:rsidRPr="00EB221F" w:rsidRDefault="00211ED4" w:rsidP="008F778A">
      <w:pPr>
        <w:spacing w:after="120"/>
        <w:jc w:val="both"/>
        <w:rPr>
          <w:rFonts w:ascii="Arial Narrow" w:hAnsi="Arial Narrow" w:cs="Al Bayan Plain"/>
          <w:sz w:val="22"/>
          <w:szCs w:val="22"/>
          <w:lang w:val="hr-HR"/>
        </w:rPr>
      </w:pPr>
      <w:r w:rsidRPr="00EB221F">
        <w:rPr>
          <w:rFonts w:ascii="Arial Narrow" w:hAnsi="Arial Narrow"/>
          <w:lang w:val="hr-HR"/>
        </w:rPr>
        <w:t xml:space="preserve">Navedite </w:t>
      </w:r>
      <w:proofErr w:type="spellStart"/>
      <w:r w:rsidRPr="00EB221F">
        <w:rPr>
          <w:rFonts w:ascii="Arial Narrow" w:hAnsi="Arial Narrow"/>
          <w:lang w:val="hr-HR"/>
        </w:rPr>
        <w:t>predlog</w:t>
      </w:r>
      <w:proofErr w:type="spellEnd"/>
      <w:r w:rsidRPr="00EB221F">
        <w:rPr>
          <w:rFonts w:ascii="Arial Narrow" w:hAnsi="Arial Narrow"/>
          <w:lang w:val="hr-HR"/>
        </w:rPr>
        <w:t>/e ili sugestiju/e koju/e smatrate važnom/im za uvrštav</w:t>
      </w:r>
      <w:r w:rsidR="00B450F0" w:rsidRPr="00EB221F">
        <w:rPr>
          <w:rFonts w:ascii="Arial Narrow" w:hAnsi="Arial Narrow"/>
          <w:lang w:val="hr-HR"/>
        </w:rPr>
        <w:t>anje u Program rada Vlade 2021. (npr. koje zakone bi trebalo Vlada da predloži ili izmijeni, za koje oblasti nedostaju strategije/ akcioni planovi/ programi, koja bi postojeća strateška dokumenta trebalo revidirati, koje analize i evaluacije bi Vlada trebalo da sprovede u ovoj godini)</w:t>
      </w:r>
      <w:r w:rsidR="00E72BE8" w:rsidRPr="00EB221F">
        <w:rPr>
          <w:rFonts w:ascii="Arial Narrow" w:hAnsi="Arial Narrow"/>
          <w:lang w:val="hr-HR"/>
        </w:rPr>
        <w:t>.</w:t>
      </w:r>
    </w:p>
    <w:p w14:paraId="0533D519" w14:textId="1E12E28A"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618"/>
        <w:jc w:val="center"/>
        <w:rPr>
          <w:rFonts w:ascii="Arial Narrow" w:hAnsi="Arial Narrow" w:cs="Al Bayan Plain"/>
          <w:noProof/>
          <w:lang w:val="hr-HR"/>
        </w:rPr>
      </w:pPr>
    </w:p>
    <w:p w14:paraId="3082DECC" w14:textId="77777777" w:rsidR="00371170" w:rsidRPr="00EB221F" w:rsidRDefault="00371170" w:rsidP="00371170">
      <w:pPr>
        <w:autoSpaceDE w:val="0"/>
        <w:autoSpaceDN w:val="0"/>
        <w:adjustRightInd w:val="0"/>
        <w:rPr>
          <w:rFonts w:ascii="Arial Narrow" w:hAnsi="Arial Narrow" w:cs="Al Bayan Plain"/>
          <w:color w:val="000000"/>
          <w:sz w:val="22"/>
          <w:szCs w:val="22"/>
          <w:lang w:val="hr-HR" w:eastAsia="fr-FR"/>
        </w:rPr>
      </w:pPr>
    </w:p>
    <w:p w14:paraId="27AA1339" w14:textId="77777777" w:rsidR="00371170" w:rsidRPr="00EB221F" w:rsidRDefault="00371170" w:rsidP="003711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46"/>
        <w:jc w:val="both"/>
        <w:rPr>
          <w:rFonts w:ascii="Arial Narrow" w:hAnsi="Arial Narrow" w:cs="Al Bayan Plain"/>
          <w:b/>
          <w:bCs/>
          <w:color w:val="000000"/>
          <w:sz w:val="22"/>
          <w:szCs w:val="22"/>
          <w:lang w:val="hr-HR" w:eastAsia="fr-FR"/>
        </w:rPr>
      </w:pPr>
      <w:r w:rsidRPr="00EB221F">
        <w:rPr>
          <w:rFonts w:ascii="Arial Narrow" w:hAnsi="Arial Narrow" w:cs="Al Bayan Plain"/>
          <w:b/>
          <w:bCs/>
          <w:color w:val="000000"/>
          <w:sz w:val="22"/>
          <w:szCs w:val="22"/>
          <w:lang w:val="hr-HR" w:eastAsia="fr-FR"/>
        </w:rPr>
        <w:t xml:space="preserve">1. Informacija o </w:t>
      </w:r>
      <w:proofErr w:type="spellStart"/>
      <w:r w:rsidRPr="00EB221F">
        <w:rPr>
          <w:rFonts w:ascii="Arial Narrow" w:hAnsi="Arial Narrow" w:cs="Al Bayan Plain"/>
          <w:b/>
          <w:bCs/>
          <w:color w:val="000000"/>
          <w:sz w:val="22"/>
          <w:szCs w:val="22"/>
          <w:lang w:val="hr-HR" w:eastAsia="fr-FR"/>
        </w:rPr>
        <w:t>korišćenju</w:t>
      </w:r>
      <w:proofErr w:type="spellEnd"/>
      <w:r w:rsidRPr="00EB221F">
        <w:rPr>
          <w:rFonts w:ascii="Arial Narrow" w:hAnsi="Arial Narrow" w:cs="Al Bayan Plain"/>
          <w:b/>
          <w:bCs/>
          <w:color w:val="000000"/>
          <w:sz w:val="22"/>
          <w:szCs w:val="22"/>
          <w:lang w:val="hr-HR" w:eastAsia="fr-FR"/>
        </w:rPr>
        <w:t xml:space="preserve"> tekuće budžetske rezerve u 2020. godini.</w:t>
      </w:r>
    </w:p>
    <w:p w14:paraId="42B046C0" w14:textId="77777777" w:rsidR="00371170" w:rsidRPr="00EB221F" w:rsidRDefault="00371170" w:rsidP="003711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46"/>
        <w:jc w:val="both"/>
        <w:rPr>
          <w:rFonts w:ascii="Arial Narrow" w:hAnsi="Arial Narrow" w:cs="Al Bayan Plain"/>
          <w:color w:val="000000"/>
          <w:sz w:val="22"/>
          <w:szCs w:val="22"/>
          <w:lang w:val="hr-HR" w:eastAsia="fr-FR"/>
        </w:rPr>
      </w:pPr>
    </w:p>
    <w:p w14:paraId="7F9713CE" w14:textId="088BFF98" w:rsidR="00371170" w:rsidRPr="00EB221F" w:rsidRDefault="00371170" w:rsidP="003711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46"/>
        <w:jc w:val="both"/>
        <w:rPr>
          <w:rFonts w:ascii="Arial Narrow" w:hAnsi="Arial Narrow" w:cs="Al Bayan Plain"/>
          <w:color w:val="000000"/>
          <w:sz w:val="22"/>
          <w:szCs w:val="22"/>
          <w:lang w:val="hr-HR" w:eastAsia="fr-FR"/>
        </w:rPr>
      </w:pPr>
      <w:r w:rsidRPr="00EB221F">
        <w:rPr>
          <w:rFonts w:ascii="Arial Narrow" w:hAnsi="Arial Narrow" w:cs="Al Bayan Plain"/>
          <w:color w:val="000000"/>
          <w:sz w:val="22"/>
          <w:szCs w:val="22"/>
          <w:lang w:val="hr-HR" w:eastAsia="fr-FR"/>
        </w:rPr>
        <w:t xml:space="preserve">Kako je 2020. godina rekordna po </w:t>
      </w:r>
      <w:proofErr w:type="spellStart"/>
      <w:r w:rsidRPr="00EB221F">
        <w:rPr>
          <w:rFonts w:ascii="Arial Narrow" w:hAnsi="Arial Narrow" w:cs="Al Bayan Plain"/>
          <w:color w:val="000000"/>
          <w:sz w:val="22"/>
          <w:szCs w:val="22"/>
          <w:lang w:val="hr-HR" w:eastAsia="fr-FR"/>
        </w:rPr>
        <w:t>korišćenju</w:t>
      </w:r>
      <w:proofErr w:type="spellEnd"/>
      <w:r w:rsidRPr="00EB221F">
        <w:rPr>
          <w:rFonts w:ascii="Arial Narrow" w:hAnsi="Arial Narrow" w:cs="Al Bayan Plain"/>
          <w:color w:val="000000"/>
          <w:sz w:val="22"/>
          <w:szCs w:val="22"/>
          <w:lang w:val="hr-HR" w:eastAsia="fr-FR"/>
        </w:rPr>
        <w:t xml:space="preserve"> tekuće budžetske rezerve - potrošeno je preko 130 miliona eura, ili više nego u </w:t>
      </w:r>
      <w:r w:rsidR="00EB221F">
        <w:rPr>
          <w:rFonts w:ascii="Arial Narrow" w:hAnsi="Arial Narrow" w:cs="Al Bayan Plain"/>
          <w:color w:val="000000"/>
          <w:sz w:val="22"/>
          <w:szCs w:val="22"/>
          <w:lang w:val="hr-HR" w:eastAsia="fr-FR"/>
        </w:rPr>
        <w:t>prethodnih</w:t>
      </w:r>
      <w:r w:rsidRPr="00EB221F">
        <w:rPr>
          <w:rFonts w:ascii="Arial Narrow" w:hAnsi="Arial Narrow" w:cs="Al Bayan Plain"/>
          <w:color w:val="000000"/>
          <w:sz w:val="22"/>
          <w:szCs w:val="22"/>
          <w:lang w:val="hr-HR" w:eastAsia="fr-FR"/>
        </w:rPr>
        <w:t xml:space="preserve"> osam godina zajedno - neophodno je pr</w:t>
      </w:r>
      <w:r w:rsidR="00EB221F">
        <w:rPr>
          <w:rFonts w:ascii="Arial Narrow" w:hAnsi="Arial Narrow" w:cs="Al Bayan Plain"/>
          <w:color w:val="000000"/>
          <w:sz w:val="22"/>
          <w:szCs w:val="22"/>
          <w:lang w:val="hr-HR" w:eastAsia="fr-FR"/>
        </w:rPr>
        <w:t>u</w:t>
      </w:r>
      <w:r w:rsidRPr="00EB221F">
        <w:rPr>
          <w:rFonts w:ascii="Arial Narrow" w:hAnsi="Arial Narrow" w:cs="Al Bayan Plain"/>
          <w:color w:val="000000"/>
          <w:sz w:val="22"/>
          <w:szCs w:val="22"/>
          <w:lang w:val="hr-HR" w:eastAsia="fr-FR"/>
        </w:rPr>
        <w:t xml:space="preserve">žiti javnosti detaljne informacije o strukturi potrošnje. Izvještaj bi sadržao informacije o potrošnji sa linije tekuće budžetske rezerve od strane pojedinačnih budžetskih jedinica, kao i Komisije za raspodjelu dijela sredstava budžetske rezerve, sa podacima o pojedinačnim iznosima koji su isplaćeni, njihovom svrhom i korisnikom sredstava. Izvještaj bi trebalo da sadrži i informacije o radu ove Komisije za raspodjelu dijela sredstava budžetske rezerve koje su u ranijem periodu proglašavane tajnom - Zahtjevi za </w:t>
      </w:r>
      <w:proofErr w:type="spellStart"/>
      <w:r w:rsidRPr="00EB221F">
        <w:rPr>
          <w:rFonts w:ascii="Arial Narrow" w:hAnsi="Arial Narrow" w:cs="Al Bayan Plain"/>
          <w:color w:val="000000"/>
          <w:sz w:val="22"/>
          <w:szCs w:val="22"/>
          <w:lang w:val="hr-HR" w:eastAsia="fr-FR"/>
        </w:rPr>
        <w:t>korišćenje</w:t>
      </w:r>
      <w:proofErr w:type="spellEnd"/>
      <w:r w:rsidRPr="00EB221F">
        <w:rPr>
          <w:rFonts w:ascii="Arial Narrow" w:hAnsi="Arial Narrow" w:cs="Al Bayan Plain"/>
          <w:color w:val="000000"/>
          <w:sz w:val="22"/>
          <w:szCs w:val="22"/>
          <w:lang w:val="hr-HR" w:eastAsia="fr-FR"/>
        </w:rPr>
        <w:t xml:space="preserve"> sredstava </w:t>
      </w:r>
      <w:proofErr w:type="spellStart"/>
      <w:r w:rsidRPr="00EB221F">
        <w:rPr>
          <w:rFonts w:ascii="Arial Narrow" w:hAnsi="Arial Narrow" w:cs="Al Bayan Plain"/>
          <w:color w:val="000000"/>
          <w:sz w:val="22"/>
          <w:szCs w:val="22"/>
          <w:lang w:val="hr-HR" w:eastAsia="fr-FR"/>
        </w:rPr>
        <w:t>tekuće</w:t>
      </w:r>
      <w:proofErr w:type="spellEnd"/>
      <w:r w:rsidRPr="00EB221F">
        <w:rPr>
          <w:rFonts w:ascii="Arial Narrow" w:hAnsi="Arial Narrow" w:cs="Al Bayan Plain"/>
          <w:color w:val="000000"/>
          <w:sz w:val="22"/>
          <w:szCs w:val="22"/>
          <w:lang w:val="hr-HR" w:eastAsia="fr-FR"/>
        </w:rPr>
        <w:t xml:space="preserve"> budžetske rezerve sa potrebnom dokumentacijom, koje je Komisija primila u toku 2020. godine; Odluke o raspodjeli; Izvještaji, konstatacije, ocjene i prijedlozi </w:t>
      </w:r>
      <w:proofErr w:type="spellStart"/>
      <w:r w:rsidRPr="00EB221F">
        <w:rPr>
          <w:rFonts w:ascii="Arial Narrow" w:hAnsi="Arial Narrow" w:cs="Al Bayan Plain"/>
          <w:color w:val="000000"/>
          <w:sz w:val="22"/>
          <w:szCs w:val="22"/>
          <w:lang w:val="hr-HR" w:eastAsia="fr-FR"/>
        </w:rPr>
        <w:t>zaključaka</w:t>
      </w:r>
      <w:proofErr w:type="spellEnd"/>
      <w:r w:rsidRPr="00EB221F">
        <w:rPr>
          <w:rFonts w:ascii="Arial Narrow" w:hAnsi="Arial Narrow" w:cs="Al Bayan Plain"/>
          <w:color w:val="000000"/>
          <w:sz w:val="22"/>
          <w:szCs w:val="22"/>
          <w:lang w:val="hr-HR" w:eastAsia="fr-FR"/>
        </w:rPr>
        <w:t xml:space="preserve"> kao i zapisnici sa sjednica Komisije za raspodjelu dijela sredstava budžetske rezerve održanih u toku 2020. godine. </w:t>
      </w:r>
    </w:p>
    <w:p w14:paraId="61DFC0CB" w14:textId="77777777" w:rsidR="00371170" w:rsidRPr="00EB221F" w:rsidRDefault="00371170" w:rsidP="003711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46"/>
        <w:jc w:val="both"/>
        <w:rPr>
          <w:rFonts w:ascii="Arial Narrow" w:hAnsi="Arial Narrow" w:cs="Al Bayan Plain"/>
          <w:color w:val="000000"/>
          <w:sz w:val="22"/>
          <w:szCs w:val="22"/>
          <w:lang w:val="hr-HR" w:eastAsia="fr-FR"/>
        </w:rPr>
      </w:pPr>
    </w:p>
    <w:p w14:paraId="2FF45840" w14:textId="6D3825E6" w:rsidR="00371170" w:rsidRPr="00EB221F" w:rsidRDefault="00371170" w:rsidP="003711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46"/>
        <w:jc w:val="both"/>
        <w:rPr>
          <w:rFonts w:ascii="Arial Narrow" w:hAnsi="Arial Narrow" w:cs="Al Bayan Plain"/>
          <w:color w:val="000000"/>
          <w:sz w:val="22"/>
          <w:szCs w:val="22"/>
          <w:lang w:val="hr-HR" w:eastAsia="fr-FR"/>
        </w:rPr>
      </w:pPr>
      <w:r w:rsidRPr="00EB221F">
        <w:rPr>
          <w:rFonts w:ascii="Arial Narrow" w:hAnsi="Arial Narrow" w:cs="Al Bayan Plain"/>
          <w:color w:val="000000"/>
          <w:sz w:val="22"/>
          <w:szCs w:val="22"/>
          <w:lang w:val="hr-HR" w:eastAsia="fr-FR"/>
        </w:rPr>
        <w:t xml:space="preserve">Predlagač: Ministarstvo </w:t>
      </w:r>
      <w:proofErr w:type="spellStart"/>
      <w:r w:rsidRPr="00EB221F">
        <w:rPr>
          <w:rFonts w:ascii="Arial Narrow" w:hAnsi="Arial Narrow" w:cs="Al Bayan Plain"/>
          <w:color w:val="000000"/>
          <w:sz w:val="22"/>
          <w:szCs w:val="22"/>
          <w:lang w:val="hr-HR" w:eastAsia="fr-FR"/>
        </w:rPr>
        <w:t>finansija</w:t>
      </w:r>
      <w:proofErr w:type="spellEnd"/>
      <w:r w:rsidRPr="00EB221F">
        <w:rPr>
          <w:rFonts w:ascii="Arial Narrow" w:hAnsi="Arial Narrow" w:cs="Al Bayan Plain"/>
          <w:color w:val="000000"/>
          <w:sz w:val="22"/>
          <w:szCs w:val="22"/>
          <w:lang w:val="hr-HR" w:eastAsia="fr-FR"/>
        </w:rPr>
        <w:t xml:space="preserve"> i socijalnog staranja</w:t>
      </w:r>
    </w:p>
    <w:p w14:paraId="4BEA657E" w14:textId="77777777" w:rsidR="00371170" w:rsidRPr="00EB221F" w:rsidRDefault="00371170" w:rsidP="003711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46"/>
        <w:jc w:val="both"/>
        <w:rPr>
          <w:rFonts w:ascii="Arial Narrow" w:hAnsi="Arial Narrow" w:cs="Al Bayan Plain"/>
          <w:color w:val="000000"/>
          <w:sz w:val="22"/>
          <w:szCs w:val="22"/>
          <w:lang w:val="hr-HR" w:eastAsia="fr-FR"/>
        </w:rPr>
      </w:pPr>
    </w:p>
    <w:p w14:paraId="7A446F3B" w14:textId="77777777" w:rsidR="00371170" w:rsidRPr="00EB221F" w:rsidRDefault="00371170" w:rsidP="003711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46"/>
        <w:jc w:val="both"/>
        <w:rPr>
          <w:rFonts w:ascii="Arial Narrow" w:hAnsi="Arial Narrow" w:cs="Al Bayan Plain"/>
          <w:color w:val="000000"/>
          <w:sz w:val="22"/>
          <w:szCs w:val="22"/>
          <w:lang w:val="hr-HR" w:eastAsia="fr-FR"/>
        </w:rPr>
      </w:pPr>
    </w:p>
    <w:p w14:paraId="2E6C302F" w14:textId="77777777" w:rsidR="00371170" w:rsidRPr="00EB221F" w:rsidRDefault="00371170" w:rsidP="003711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46"/>
        <w:jc w:val="both"/>
        <w:rPr>
          <w:rFonts w:ascii="Arial Narrow" w:hAnsi="Arial Narrow" w:cs="Al Bayan Plain"/>
          <w:b/>
          <w:bCs/>
          <w:color w:val="000000"/>
          <w:sz w:val="22"/>
          <w:szCs w:val="22"/>
          <w:lang w:val="hr-HR" w:eastAsia="fr-FR"/>
        </w:rPr>
      </w:pPr>
      <w:r w:rsidRPr="00EB221F">
        <w:rPr>
          <w:rFonts w:ascii="Arial Narrow" w:hAnsi="Arial Narrow" w:cs="Al Bayan Plain"/>
          <w:b/>
          <w:bCs/>
          <w:color w:val="000000"/>
          <w:sz w:val="22"/>
          <w:szCs w:val="22"/>
          <w:lang w:val="hr-HR" w:eastAsia="fr-FR"/>
        </w:rPr>
        <w:t>2. Polugodišnji izvještaj o izvršenju budžeta u 2021. godini</w:t>
      </w:r>
    </w:p>
    <w:p w14:paraId="07813765" w14:textId="77777777" w:rsidR="00371170" w:rsidRPr="00EB221F" w:rsidRDefault="00371170" w:rsidP="003711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46"/>
        <w:jc w:val="both"/>
        <w:rPr>
          <w:rFonts w:ascii="Arial Narrow" w:hAnsi="Arial Narrow" w:cs="Al Bayan Plain"/>
          <w:color w:val="000000"/>
          <w:sz w:val="22"/>
          <w:szCs w:val="22"/>
          <w:lang w:val="hr-HR" w:eastAsia="fr-FR"/>
        </w:rPr>
      </w:pPr>
    </w:p>
    <w:p w14:paraId="0336D9A3" w14:textId="77777777" w:rsidR="00371170" w:rsidRPr="00EB221F" w:rsidRDefault="00371170" w:rsidP="003711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46"/>
        <w:jc w:val="both"/>
        <w:rPr>
          <w:rFonts w:ascii="Arial Narrow" w:hAnsi="Arial Narrow" w:cs="Al Bayan Plain"/>
          <w:color w:val="000000"/>
          <w:sz w:val="22"/>
          <w:szCs w:val="22"/>
          <w:lang w:val="hr-HR" w:eastAsia="fr-FR"/>
        </w:rPr>
      </w:pPr>
      <w:r w:rsidRPr="00EB221F">
        <w:rPr>
          <w:rFonts w:ascii="Arial Narrow" w:hAnsi="Arial Narrow" w:cs="Al Bayan Plain"/>
          <w:color w:val="000000"/>
          <w:sz w:val="22"/>
          <w:szCs w:val="22"/>
          <w:lang w:val="hr-HR" w:eastAsia="fr-FR"/>
        </w:rPr>
        <w:t xml:space="preserve">Međunarodni standard u oblasti transparentnosti budžeta je da Ministarstvo </w:t>
      </w:r>
      <w:proofErr w:type="spellStart"/>
      <w:r w:rsidRPr="00EB221F">
        <w:rPr>
          <w:rFonts w:ascii="Arial Narrow" w:hAnsi="Arial Narrow" w:cs="Al Bayan Plain"/>
          <w:color w:val="000000"/>
          <w:sz w:val="22"/>
          <w:szCs w:val="22"/>
          <w:lang w:val="hr-HR" w:eastAsia="fr-FR"/>
        </w:rPr>
        <w:t>finansija</w:t>
      </w:r>
      <w:proofErr w:type="spellEnd"/>
      <w:r w:rsidRPr="00EB221F">
        <w:rPr>
          <w:rFonts w:ascii="Arial Narrow" w:hAnsi="Arial Narrow" w:cs="Al Bayan Plain"/>
          <w:color w:val="000000"/>
          <w:sz w:val="22"/>
          <w:szCs w:val="22"/>
          <w:lang w:val="hr-HR" w:eastAsia="fr-FR"/>
        </w:rPr>
        <w:t xml:space="preserve">, osim završnog računa, priprema i dostavlja parlamentu polugodišnje izvještaje o izvršenju budžeta, koji bi pružio uvid u šestomjesečnu potrošnju po funkcionalnoj, organizacionoj, ekonomskoj i programskoj klasifikaciji. Iako trenutno ne postoji </w:t>
      </w:r>
      <w:r w:rsidRPr="00EB221F">
        <w:rPr>
          <w:rFonts w:ascii="Arial Narrow" w:hAnsi="Arial Narrow" w:cs="Al Bayan Plain"/>
          <w:color w:val="000000"/>
          <w:sz w:val="22"/>
          <w:szCs w:val="22"/>
          <w:lang w:val="hr-HR" w:eastAsia="fr-FR"/>
        </w:rPr>
        <w:lastRenderedPageBreak/>
        <w:t xml:space="preserve">zakonska obaveza, bilo bi važno da Ministarstvo </w:t>
      </w:r>
      <w:proofErr w:type="spellStart"/>
      <w:r w:rsidRPr="00EB221F">
        <w:rPr>
          <w:rFonts w:ascii="Arial Narrow" w:hAnsi="Arial Narrow" w:cs="Al Bayan Plain"/>
          <w:color w:val="000000"/>
          <w:sz w:val="22"/>
          <w:szCs w:val="22"/>
          <w:lang w:val="hr-HR" w:eastAsia="fr-FR"/>
        </w:rPr>
        <w:t>finansija</w:t>
      </w:r>
      <w:proofErr w:type="spellEnd"/>
      <w:r w:rsidRPr="00EB221F">
        <w:rPr>
          <w:rFonts w:ascii="Arial Narrow" w:hAnsi="Arial Narrow" w:cs="Al Bayan Plain"/>
          <w:color w:val="000000"/>
          <w:sz w:val="22"/>
          <w:szCs w:val="22"/>
          <w:lang w:val="hr-HR" w:eastAsia="fr-FR"/>
        </w:rPr>
        <w:t xml:space="preserve"> i socijalnog staranja započne ovu praksu ove godine, pogotovo zbog privremenog </w:t>
      </w:r>
      <w:proofErr w:type="spellStart"/>
      <w:r w:rsidRPr="00EB221F">
        <w:rPr>
          <w:rFonts w:ascii="Arial Narrow" w:hAnsi="Arial Narrow" w:cs="Al Bayan Plain"/>
          <w:color w:val="000000"/>
          <w:sz w:val="22"/>
          <w:szCs w:val="22"/>
          <w:lang w:val="hr-HR" w:eastAsia="fr-FR"/>
        </w:rPr>
        <w:t>finansiranja</w:t>
      </w:r>
      <w:proofErr w:type="spellEnd"/>
      <w:r w:rsidRPr="00EB221F">
        <w:rPr>
          <w:rFonts w:ascii="Arial Narrow" w:hAnsi="Arial Narrow" w:cs="Al Bayan Plain"/>
          <w:color w:val="000000"/>
          <w:sz w:val="22"/>
          <w:szCs w:val="22"/>
          <w:lang w:val="hr-HR" w:eastAsia="fr-FR"/>
        </w:rPr>
        <w:t xml:space="preserve"> koje mora biti praćeno povećanom odgovornošću i transparentnošću budžetske potrošnje.</w:t>
      </w:r>
    </w:p>
    <w:p w14:paraId="6A4801AD" w14:textId="77777777" w:rsidR="00371170" w:rsidRPr="00EB221F" w:rsidRDefault="00371170" w:rsidP="003711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46"/>
        <w:jc w:val="both"/>
        <w:rPr>
          <w:rFonts w:ascii="Arial Narrow" w:hAnsi="Arial Narrow" w:cs="Al Bayan Plain"/>
          <w:color w:val="000000"/>
          <w:sz w:val="22"/>
          <w:szCs w:val="22"/>
          <w:lang w:val="hr-HR" w:eastAsia="fr-FR"/>
        </w:rPr>
      </w:pPr>
    </w:p>
    <w:p w14:paraId="67754448" w14:textId="77777777" w:rsidR="00371170" w:rsidRPr="00EB221F" w:rsidRDefault="00371170" w:rsidP="003711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46"/>
        <w:jc w:val="both"/>
        <w:rPr>
          <w:rFonts w:ascii="Arial Narrow" w:hAnsi="Arial Narrow" w:cs="Al Bayan Plain"/>
          <w:color w:val="000000"/>
          <w:sz w:val="22"/>
          <w:szCs w:val="22"/>
          <w:lang w:val="hr-HR" w:eastAsia="fr-FR"/>
        </w:rPr>
      </w:pPr>
      <w:r w:rsidRPr="00EB221F">
        <w:rPr>
          <w:rFonts w:ascii="Arial Narrow" w:hAnsi="Arial Narrow" w:cs="Al Bayan Plain"/>
          <w:color w:val="000000"/>
          <w:sz w:val="22"/>
          <w:szCs w:val="22"/>
          <w:lang w:val="hr-HR" w:eastAsia="fr-FR"/>
        </w:rPr>
        <w:t>Rok: Važno je da ova informacija bude dostupna u najkraćem mogućem roku nakon završetka drugog kvartala.</w:t>
      </w:r>
    </w:p>
    <w:p w14:paraId="18C9675C" w14:textId="77777777" w:rsidR="00371170" w:rsidRPr="00EB221F" w:rsidRDefault="00371170" w:rsidP="003711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46"/>
        <w:jc w:val="both"/>
        <w:rPr>
          <w:rFonts w:ascii="Arial Narrow" w:hAnsi="Arial Narrow" w:cs="Al Bayan Plain"/>
          <w:color w:val="000000"/>
          <w:sz w:val="22"/>
          <w:szCs w:val="22"/>
          <w:lang w:val="hr-HR" w:eastAsia="fr-FR"/>
        </w:rPr>
      </w:pPr>
    </w:p>
    <w:p w14:paraId="018EE8CD" w14:textId="77777777" w:rsidR="00371170" w:rsidRPr="00EB221F" w:rsidRDefault="00371170" w:rsidP="003711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46"/>
        <w:jc w:val="both"/>
        <w:rPr>
          <w:rFonts w:ascii="Arial Narrow" w:hAnsi="Arial Narrow" w:cs="Al Bayan Plain"/>
          <w:color w:val="000000"/>
          <w:sz w:val="22"/>
          <w:szCs w:val="22"/>
          <w:lang w:val="hr-HR" w:eastAsia="fr-FR"/>
        </w:rPr>
      </w:pPr>
      <w:r w:rsidRPr="00EB221F">
        <w:rPr>
          <w:rFonts w:ascii="Arial Narrow" w:hAnsi="Arial Narrow" w:cs="Al Bayan Plain"/>
          <w:color w:val="000000"/>
          <w:sz w:val="22"/>
          <w:szCs w:val="22"/>
          <w:lang w:val="hr-HR" w:eastAsia="fr-FR"/>
        </w:rPr>
        <w:t xml:space="preserve">Predlagač: Ministarstvo </w:t>
      </w:r>
      <w:proofErr w:type="spellStart"/>
      <w:r w:rsidRPr="00EB221F">
        <w:rPr>
          <w:rFonts w:ascii="Arial Narrow" w:hAnsi="Arial Narrow" w:cs="Al Bayan Plain"/>
          <w:color w:val="000000"/>
          <w:sz w:val="22"/>
          <w:szCs w:val="22"/>
          <w:lang w:val="hr-HR" w:eastAsia="fr-FR"/>
        </w:rPr>
        <w:t>finansija</w:t>
      </w:r>
      <w:proofErr w:type="spellEnd"/>
      <w:r w:rsidRPr="00EB221F">
        <w:rPr>
          <w:rFonts w:ascii="Arial Narrow" w:hAnsi="Arial Narrow" w:cs="Al Bayan Plain"/>
          <w:color w:val="000000"/>
          <w:sz w:val="22"/>
          <w:szCs w:val="22"/>
          <w:lang w:val="hr-HR" w:eastAsia="fr-FR"/>
        </w:rPr>
        <w:t xml:space="preserve"> i socijalnog staranja</w:t>
      </w:r>
    </w:p>
    <w:p w14:paraId="3E246526" w14:textId="77777777" w:rsidR="00371170" w:rsidRPr="00EB221F" w:rsidRDefault="00371170" w:rsidP="003711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46"/>
        <w:jc w:val="both"/>
        <w:rPr>
          <w:rFonts w:ascii="Arial Narrow" w:hAnsi="Arial Narrow" w:cs="Al Bayan Plain"/>
          <w:color w:val="000000"/>
          <w:sz w:val="22"/>
          <w:szCs w:val="22"/>
          <w:lang w:val="hr-HR" w:eastAsia="fr-FR"/>
        </w:rPr>
      </w:pPr>
    </w:p>
    <w:p w14:paraId="154940FE" w14:textId="77777777" w:rsidR="00371170" w:rsidRPr="00EB221F" w:rsidRDefault="00371170" w:rsidP="003711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46"/>
        <w:jc w:val="both"/>
        <w:rPr>
          <w:rFonts w:ascii="Arial Narrow" w:hAnsi="Arial Narrow" w:cs="Al Bayan Plain"/>
          <w:color w:val="000000"/>
          <w:sz w:val="22"/>
          <w:szCs w:val="22"/>
          <w:lang w:val="hr-HR" w:eastAsia="fr-FR"/>
        </w:rPr>
      </w:pPr>
    </w:p>
    <w:p w14:paraId="364F101D" w14:textId="77777777" w:rsidR="00371170" w:rsidRPr="00EB221F" w:rsidRDefault="00371170" w:rsidP="003711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46"/>
        <w:jc w:val="both"/>
        <w:rPr>
          <w:rFonts w:ascii="Arial Narrow" w:hAnsi="Arial Narrow" w:cs="Al Bayan Plain"/>
          <w:b/>
          <w:bCs/>
          <w:color w:val="000000"/>
          <w:sz w:val="22"/>
          <w:szCs w:val="22"/>
          <w:lang w:val="hr-HR" w:eastAsia="fr-FR"/>
        </w:rPr>
      </w:pPr>
      <w:r w:rsidRPr="00EB221F">
        <w:rPr>
          <w:rFonts w:ascii="Arial Narrow" w:hAnsi="Arial Narrow" w:cs="Al Bayan Plain"/>
          <w:b/>
          <w:bCs/>
          <w:color w:val="000000"/>
          <w:sz w:val="22"/>
          <w:szCs w:val="22"/>
          <w:lang w:val="hr-HR" w:eastAsia="fr-FR"/>
        </w:rPr>
        <w:t xml:space="preserve">3. Informacija o realizaciji obaveza koje su </w:t>
      </w:r>
      <w:proofErr w:type="spellStart"/>
      <w:r w:rsidRPr="00EB221F">
        <w:rPr>
          <w:rFonts w:ascii="Arial Narrow" w:hAnsi="Arial Narrow" w:cs="Al Bayan Plain"/>
          <w:b/>
          <w:bCs/>
          <w:color w:val="000000"/>
          <w:sz w:val="22"/>
          <w:szCs w:val="22"/>
          <w:lang w:val="hr-HR" w:eastAsia="fr-FR"/>
        </w:rPr>
        <w:t>definisane</w:t>
      </w:r>
      <w:proofErr w:type="spellEnd"/>
      <w:r w:rsidRPr="00EB221F">
        <w:rPr>
          <w:rFonts w:ascii="Arial Narrow" w:hAnsi="Arial Narrow" w:cs="Al Bayan Plain"/>
          <w:b/>
          <w:bCs/>
          <w:color w:val="000000"/>
          <w:sz w:val="22"/>
          <w:szCs w:val="22"/>
          <w:lang w:val="hr-HR" w:eastAsia="fr-FR"/>
        </w:rPr>
        <w:t xml:space="preserve"> ugovorima o </w:t>
      </w:r>
      <w:proofErr w:type="spellStart"/>
      <w:r w:rsidRPr="00EB221F">
        <w:rPr>
          <w:rFonts w:ascii="Arial Narrow" w:hAnsi="Arial Narrow" w:cs="Al Bayan Plain"/>
          <w:b/>
          <w:bCs/>
          <w:color w:val="000000"/>
          <w:sz w:val="22"/>
          <w:szCs w:val="22"/>
          <w:lang w:val="hr-HR" w:eastAsia="fr-FR"/>
        </w:rPr>
        <w:t>reprogramu</w:t>
      </w:r>
      <w:proofErr w:type="spellEnd"/>
      <w:r w:rsidRPr="00EB221F">
        <w:rPr>
          <w:rFonts w:ascii="Arial Narrow" w:hAnsi="Arial Narrow" w:cs="Al Bayan Plain"/>
          <w:b/>
          <w:bCs/>
          <w:color w:val="000000"/>
          <w:sz w:val="22"/>
          <w:szCs w:val="22"/>
          <w:lang w:val="hr-HR" w:eastAsia="fr-FR"/>
        </w:rPr>
        <w:t xml:space="preserve"> poreskog duga </w:t>
      </w:r>
      <w:proofErr w:type="spellStart"/>
      <w:r w:rsidRPr="00EB221F">
        <w:rPr>
          <w:rFonts w:ascii="Arial Narrow" w:hAnsi="Arial Narrow" w:cs="Al Bayan Plain"/>
          <w:b/>
          <w:bCs/>
          <w:color w:val="000000"/>
          <w:sz w:val="22"/>
          <w:szCs w:val="22"/>
          <w:lang w:val="hr-HR" w:eastAsia="fr-FR"/>
        </w:rPr>
        <w:t>opština</w:t>
      </w:r>
      <w:proofErr w:type="spellEnd"/>
      <w:r w:rsidRPr="00EB221F">
        <w:rPr>
          <w:rFonts w:ascii="Arial Narrow" w:hAnsi="Arial Narrow" w:cs="Al Bayan Plain"/>
          <w:b/>
          <w:bCs/>
          <w:color w:val="000000"/>
          <w:sz w:val="22"/>
          <w:szCs w:val="22"/>
          <w:lang w:val="hr-HR" w:eastAsia="fr-FR"/>
        </w:rPr>
        <w:t xml:space="preserve"> i ugovorima o </w:t>
      </w:r>
      <w:proofErr w:type="spellStart"/>
      <w:r w:rsidRPr="00EB221F">
        <w:rPr>
          <w:rFonts w:ascii="Arial Narrow" w:hAnsi="Arial Narrow" w:cs="Al Bayan Plain"/>
          <w:b/>
          <w:bCs/>
          <w:color w:val="000000"/>
          <w:sz w:val="22"/>
          <w:szCs w:val="22"/>
          <w:lang w:val="hr-HR" w:eastAsia="fr-FR"/>
        </w:rPr>
        <w:t>regulisanju</w:t>
      </w:r>
      <w:proofErr w:type="spellEnd"/>
      <w:r w:rsidRPr="00EB221F">
        <w:rPr>
          <w:rFonts w:ascii="Arial Narrow" w:hAnsi="Arial Narrow" w:cs="Al Bayan Plain"/>
          <w:b/>
          <w:bCs/>
          <w:color w:val="000000"/>
          <w:sz w:val="22"/>
          <w:szCs w:val="22"/>
          <w:lang w:val="hr-HR" w:eastAsia="fr-FR"/>
        </w:rPr>
        <w:t xml:space="preserve"> međusobnih odnosa Države i </w:t>
      </w:r>
      <w:proofErr w:type="spellStart"/>
      <w:r w:rsidRPr="00EB221F">
        <w:rPr>
          <w:rFonts w:ascii="Arial Narrow" w:hAnsi="Arial Narrow" w:cs="Al Bayan Plain"/>
          <w:b/>
          <w:bCs/>
          <w:color w:val="000000"/>
          <w:sz w:val="22"/>
          <w:szCs w:val="22"/>
          <w:lang w:val="hr-HR" w:eastAsia="fr-FR"/>
        </w:rPr>
        <w:t>opština</w:t>
      </w:r>
      <w:proofErr w:type="spellEnd"/>
      <w:r w:rsidRPr="00EB221F">
        <w:rPr>
          <w:rFonts w:ascii="Arial Narrow" w:hAnsi="Arial Narrow" w:cs="Al Bayan Plain"/>
          <w:b/>
          <w:bCs/>
          <w:color w:val="000000"/>
          <w:sz w:val="22"/>
          <w:szCs w:val="22"/>
          <w:lang w:val="hr-HR" w:eastAsia="fr-FR"/>
        </w:rPr>
        <w:t xml:space="preserve"> po osnovu kreditnog zaduženja uz državnu garanciju </w:t>
      </w:r>
    </w:p>
    <w:p w14:paraId="1229F916" w14:textId="77777777" w:rsidR="00371170" w:rsidRPr="00EB221F" w:rsidRDefault="00371170" w:rsidP="003711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46"/>
        <w:jc w:val="both"/>
        <w:rPr>
          <w:rFonts w:ascii="Arial Narrow" w:hAnsi="Arial Narrow" w:cs="Al Bayan Plain"/>
          <w:color w:val="000000"/>
          <w:sz w:val="22"/>
          <w:szCs w:val="22"/>
          <w:lang w:val="hr-HR" w:eastAsia="fr-FR"/>
        </w:rPr>
      </w:pPr>
    </w:p>
    <w:p w14:paraId="6F457E95" w14:textId="66446D56" w:rsidR="00371170" w:rsidRPr="00EB221F" w:rsidRDefault="00371170" w:rsidP="003711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46"/>
        <w:jc w:val="both"/>
        <w:rPr>
          <w:rFonts w:ascii="Arial Narrow" w:hAnsi="Arial Narrow" w:cs="Al Bayan Plain"/>
          <w:color w:val="000000"/>
          <w:sz w:val="22"/>
          <w:szCs w:val="22"/>
          <w:lang w:val="hr-HR" w:eastAsia="fr-FR"/>
        </w:rPr>
      </w:pPr>
      <w:r w:rsidRPr="00EB221F">
        <w:rPr>
          <w:rFonts w:ascii="Arial Narrow" w:hAnsi="Arial Narrow" w:cs="Al Bayan Plain"/>
          <w:color w:val="000000"/>
          <w:sz w:val="22"/>
          <w:szCs w:val="22"/>
          <w:lang w:val="hr-HR" w:eastAsia="fr-FR"/>
        </w:rPr>
        <w:t xml:space="preserve">Visok nivo zaduženosti lokalnih samouprava </w:t>
      </w:r>
      <w:proofErr w:type="spellStart"/>
      <w:r w:rsidRPr="00EB221F">
        <w:rPr>
          <w:rFonts w:ascii="Arial Narrow" w:hAnsi="Arial Narrow" w:cs="Al Bayan Plain"/>
          <w:color w:val="000000"/>
          <w:sz w:val="22"/>
          <w:szCs w:val="22"/>
          <w:lang w:val="hr-HR" w:eastAsia="fr-FR"/>
        </w:rPr>
        <w:t>uslovio</w:t>
      </w:r>
      <w:proofErr w:type="spellEnd"/>
      <w:r w:rsidRPr="00EB221F">
        <w:rPr>
          <w:rFonts w:ascii="Arial Narrow" w:hAnsi="Arial Narrow" w:cs="Al Bayan Plain"/>
          <w:color w:val="000000"/>
          <w:sz w:val="22"/>
          <w:szCs w:val="22"/>
          <w:lang w:val="hr-HR" w:eastAsia="fr-FR"/>
        </w:rPr>
        <w:t xml:space="preserve"> je sklapanje ugovora između 16 lokalnih samouprava i Ministarstva </w:t>
      </w:r>
      <w:proofErr w:type="spellStart"/>
      <w:r w:rsidRPr="00EB221F">
        <w:rPr>
          <w:rFonts w:ascii="Arial Narrow" w:hAnsi="Arial Narrow" w:cs="Al Bayan Plain"/>
          <w:color w:val="000000"/>
          <w:sz w:val="22"/>
          <w:szCs w:val="22"/>
          <w:lang w:val="hr-HR" w:eastAsia="fr-FR"/>
        </w:rPr>
        <w:t>finansija</w:t>
      </w:r>
      <w:proofErr w:type="spellEnd"/>
      <w:r w:rsidRPr="00EB221F">
        <w:rPr>
          <w:rFonts w:ascii="Arial Narrow" w:hAnsi="Arial Narrow" w:cs="Al Bayan Plain"/>
          <w:color w:val="000000"/>
          <w:sz w:val="22"/>
          <w:szCs w:val="22"/>
          <w:lang w:val="hr-HR" w:eastAsia="fr-FR"/>
        </w:rPr>
        <w:t xml:space="preserve"> 2015. godine, kojim je </w:t>
      </w:r>
      <w:proofErr w:type="spellStart"/>
      <w:r w:rsidRPr="00EB221F">
        <w:rPr>
          <w:rFonts w:ascii="Arial Narrow" w:hAnsi="Arial Narrow" w:cs="Al Bayan Plain"/>
          <w:color w:val="000000"/>
          <w:sz w:val="22"/>
          <w:szCs w:val="22"/>
          <w:lang w:val="hr-HR" w:eastAsia="fr-FR"/>
        </w:rPr>
        <w:t>definisan</w:t>
      </w:r>
      <w:proofErr w:type="spellEnd"/>
      <w:r w:rsidRPr="00EB221F">
        <w:rPr>
          <w:rFonts w:ascii="Arial Narrow" w:hAnsi="Arial Narrow" w:cs="Al Bayan Plain"/>
          <w:color w:val="000000"/>
          <w:sz w:val="22"/>
          <w:szCs w:val="22"/>
          <w:lang w:val="hr-HR" w:eastAsia="fr-FR"/>
        </w:rPr>
        <w:t xml:space="preserve"> </w:t>
      </w:r>
      <w:proofErr w:type="spellStart"/>
      <w:r w:rsidRPr="00EB221F">
        <w:rPr>
          <w:rFonts w:ascii="Arial Narrow" w:hAnsi="Arial Narrow" w:cs="Al Bayan Plain"/>
          <w:color w:val="000000"/>
          <w:sz w:val="22"/>
          <w:szCs w:val="22"/>
          <w:lang w:val="hr-HR" w:eastAsia="fr-FR"/>
        </w:rPr>
        <w:t>način</w:t>
      </w:r>
      <w:proofErr w:type="spellEnd"/>
      <w:r w:rsidRPr="00EB221F">
        <w:rPr>
          <w:rFonts w:ascii="Arial Narrow" w:hAnsi="Arial Narrow" w:cs="Al Bayan Plain"/>
          <w:color w:val="000000"/>
          <w:sz w:val="22"/>
          <w:szCs w:val="22"/>
          <w:lang w:val="hr-HR" w:eastAsia="fr-FR"/>
        </w:rPr>
        <w:t xml:space="preserve"> izmirivanja 90 miliona eura duga za poreze i doprinose na zarade zaposlenih u lokalnim samoupravama. Iako su ugovorima lokalne samouprave obavezane da smanje broj zaposlenih u organima, ustanovama, službama i privrednim društvima </w:t>
      </w:r>
      <w:proofErr w:type="spellStart"/>
      <w:r w:rsidRPr="00EB221F">
        <w:rPr>
          <w:rFonts w:ascii="Arial Narrow" w:hAnsi="Arial Narrow" w:cs="Al Bayan Plain"/>
          <w:color w:val="000000"/>
          <w:sz w:val="22"/>
          <w:szCs w:val="22"/>
          <w:lang w:val="hr-HR" w:eastAsia="fr-FR"/>
        </w:rPr>
        <w:t>čiji</w:t>
      </w:r>
      <w:proofErr w:type="spellEnd"/>
      <w:r w:rsidRPr="00EB221F">
        <w:rPr>
          <w:rFonts w:ascii="Arial Narrow" w:hAnsi="Arial Narrow" w:cs="Al Bayan Plain"/>
          <w:color w:val="000000"/>
          <w:sz w:val="22"/>
          <w:szCs w:val="22"/>
          <w:lang w:val="hr-HR" w:eastAsia="fr-FR"/>
        </w:rPr>
        <w:t xml:space="preserve"> su </w:t>
      </w:r>
      <w:proofErr w:type="spellStart"/>
      <w:r w:rsidRPr="00EB221F">
        <w:rPr>
          <w:rFonts w:ascii="Arial Narrow" w:hAnsi="Arial Narrow" w:cs="Al Bayan Plain"/>
          <w:color w:val="000000"/>
          <w:sz w:val="22"/>
          <w:szCs w:val="22"/>
          <w:lang w:val="hr-HR" w:eastAsia="fr-FR"/>
        </w:rPr>
        <w:t>osnivači</w:t>
      </w:r>
      <w:proofErr w:type="spellEnd"/>
      <w:r w:rsidRPr="00EB221F">
        <w:rPr>
          <w:rFonts w:ascii="Arial Narrow" w:hAnsi="Arial Narrow" w:cs="Al Bayan Plain"/>
          <w:color w:val="000000"/>
          <w:sz w:val="22"/>
          <w:szCs w:val="22"/>
          <w:lang w:val="hr-HR" w:eastAsia="fr-FR"/>
        </w:rPr>
        <w:t xml:space="preserve">, potrebno je utvrditi da li su </w:t>
      </w:r>
      <w:proofErr w:type="spellStart"/>
      <w:r w:rsidRPr="00EB221F">
        <w:rPr>
          <w:rFonts w:ascii="Arial Narrow" w:hAnsi="Arial Narrow" w:cs="Al Bayan Plain"/>
          <w:color w:val="000000"/>
          <w:sz w:val="22"/>
          <w:szCs w:val="22"/>
          <w:lang w:val="hr-HR" w:eastAsia="fr-FR"/>
        </w:rPr>
        <w:t>opštine</w:t>
      </w:r>
      <w:proofErr w:type="spellEnd"/>
      <w:r w:rsidRPr="00EB221F">
        <w:rPr>
          <w:rFonts w:ascii="Arial Narrow" w:hAnsi="Arial Narrow" w:cs="Al Bayan Plain"/>
          <w:color w:val="000000"/>
          <w:sz w:val="22"/>
          <w:szCs w:val="22"/>
          <w:lang w:val="hr-HR" w:eastAsia="fr-FR"/>
        </w:rPr>
        <w:t xml:space="preserve"> poštovale odredbe ovih ugovora, kao i koji je status izmirivanja obaveza po </w:t>
      </w:r>
      <w:proofErr w:type="spellStart"/>
      <w:r w:rsidRPr="00EB221F">
        <w:rPr>
          <w:rFonts w:ascii="Arial Narrow" w:hAnsi="Arial Narrow" w:cs="Al Bayan Plain"/>
          <w:color w:val="000000"/>
          <w:sz w:val="22"/>
          <w:szCs w:val="22"/>
          <w:lang w:val="hr-HR" w:eastAsia="fr-FR"/>
        </w:rPr>
        <w:t>reprogramu</w:t>
      </w:r>
      <w:proofErr w:type="spellEnd"/>
      <w:r w:rsidRPr="00EB221F">
        <w:rPr>
          <w:rFonts w:ascii="Arial Narrow" w:hAnsi="Arial Narrow" w:cs="Al Bayan Plain"/>
          <w:color w:val="000000"/>
          <w:sz w:val="22"/>
          <w:szCs w:val="22"/>
          <w:lang w:val="hr-HR" w:eastAsia="fr-FR"/>
        </w:rPr>
        <w:t>. Posljednja informacija o poštovanju ovih obaveza lokalnih samouprava je objavljena 2016. godine, pa su Ministarstvo i Uprava prihoda dužni da obavijeste javnost o trenutnom stanju na detaljan i sveobuhvatan način.</w:t>
      </w:r>
    </w:p>
    <w:p w14:paraId="5815FFCE" w14:textId="77777777" w:rsidR="00371170" w:rsidRPr="00EB221F" w:rsidRDefault="00371170" w:rsidP="003711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46"/>
        <w:jc w:val="both"/>
        <w:rPr>
          <w:rFonts w:ascii="Arial Narrow" w:hAnsi="Arial Narrow" w:cs="Al Bayan Plain"/>
          <w:color w:val="000000"/>
          <w:sz w:val="22"/>
          <w:szCs w:val="22"/>
          <w:lang w:val="hr-HR" w:eastAsia="fr-FR"/>
        </w:rPr>
      </w:pPr>
    </w:p>
    <w:p w14:paraId="21AF6D31" w14:textId="6A236C68" w:rsidR="00371170" w:rsidRPr="00EB221F" w:rsidRDefault="00371170" w:rsidP="003711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46"/>
        <w:jc w:val="both"/>
        <w:rPr>
          <w:rFonts w:ascii="Arial Narrow" w:hAnsi="Arial Narrow" w:cs="Al Bayan Plain"/>
          <w:color w:val="000000"/>
          <w:sz w:val="22"/>
          <w:szCs w:val="22"/>
          <w:lang w:val="hr-HR" w:eastAsia="fr-FR"/>
        </w:rPr>
      </w:pPr>
      <w:r w:rsidRPr="00EB221F">
        <w:rPr>
          <w:rFonts w:ascii="Arial Narrow" w:hAnsi="Arial Narrow" w:cs="Al Bayan Plain"/>
          <w:color w:val="000000"/>
          <w:sz w:val="22"/>
          <w:szCs w:val="22"/>
          <w:lang w:val="hr-HR" w:eastAsia="fr-FR"/>
        </w:rPr>
        <w:t xml:space="preserve">Predlagač: Ministarstvo </w:t>
      </w:r>
      <w:proofErr w:type="spellStart"/>
      <w:r w:rsidRPr="00EB221F">
        <w:rPr>
          <w:rFonts w:ascii="Arial Narrow" w:hAnsi="Arial Narrow" w:cs="Al Bayan Plain"/>
          <w:color w:val="000000"/>
          <w:sz w:val="22"/>
          <w:szCs w:val="22"/>
          <w:lang w:val="hr-HR" w:eastAsia="fr-FR"/>
        </w:rPr>
        <w:t>finansija</w:t>
      </w:r>
      <w:proofErr w:type="spellEnd"/>
      <w:r w:rsidRPr="00EB221F">
        <w:rPr>
          <w:rFonts w:ascii="Arial Narrow" w:hAnsi="Arial Narrow" w:cs="Al Bayan Plain"/>
          <w:color w:val="000000"/>
          <w:sz w:val="22"/>
          <w:szCs w:val="22"/>
          <w:lang w:val="hr-HR" w:eastAsia="fr-FR"/>
        </w:rPr>
        <w:t xml:space="preserve"> i socijalnog staranja</w:t>
      </w:r>
    </w:p>
    <w:p w14:paraId="61FCA95F" w14:textId="77777777" w:rsidR="00371170" w:rsidRPr="00EB221F" w:rsidRDefault="00371170" w:rsidP="003711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46"/>
        <w:jc w:val="both"/>
        <w:rPr>
          <w:rFonts w:ascii="Arial Narrow" w:hAnsi="Arial Narrow" w:cs="Al Bayan Plain"/>
          <w:color w:val="000000"/>
          <w:sz w:val="22"/>
          <w:szCs w:val="22"/>
          <w:lang w:val="hr-HR" w:eastAsia="fr-FR"/>
        </w:rPr>
      </w:pPr>
    </w:p>
    <w:p w14:paraId="34FA80AC" w14:textId="77777777" w:rsidR="00371170" w:rsidRPr="00EB221F" w:rsidRDefault="00371170" w:rsidP="003711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46"/>
        <w:jc w:val="both"/>
        <w:rPr>
          <w:rFonts w:ascii="Arial Narrow" w:hAnsi="Arial Narrow" w:cs="Al Bayan Plain"/>
          <w:color w:val="000000"/>
          <w:sz w:val="22"/>
          <w:szCs w:val="22"/>
          <w:lang w:val="hr-HR" w:eastAsia="fr-FR"/>
        </w:rPr>
      </w:pPr>
    </w:p>
    <w:p w14:paraId="09271430" w14:textId="77777777" w:rsidR="00371170" w:rsidRPr="00EB221F" w:rsidRDefault="00371170" w:rsidP="003711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46"/>
        <w:jc w:val="both"/>
        <w:rPr>
          <w:rFonts w:ascii="Arial Narrow" w:hAnsi="Arial Narrow" w:cs="Al Bayan Plain"/>
          <w:b/>
          <w:bCs/>
          <w:color w:val="000000"/>
          <w:sz w:val="22"/>
          <w:szCs w:val="22"/>
          <w:lang w:val="hr-HR" w:eastAsia="fr-FR"/>
        </w:rPr>
      </w:pPr>
      <w:r w:rsidRPr="00EB221F">
        <w:rPr>
          <w:rFonts w:ascii="Arial Narrow" w:hAnsi="Arial Narrow" w:cs="Al Bayan Plain"/>
          <w:b/>
          <w:bCs/>
          <w:color w:val="000000"/>
          <w:sz w:val="22"/>
          <w:szCs w:val="22"/>
          <w:lang w:val="hr-HR" w:eastAsia="fr-FR"/>
        </w:rPr>
        <w:t>4. Prijedlog zakona o izmjenama Zakona o održavanju stambenih zgrada</w:t>
      </w:r>
    </w:p>
    <w:p w14:paraId="3B3E36C7" w14:textId="77777777" w:rsidR="00371170" w:rsidRPr="00EB221F" w:rsidRDefault="00371170" w:rsidP="003711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46"/>
        <w:jc w:val="both"/>
        <w:rPr>
          <w:rFonts w:ascii="Arial Narrow" w:hAnsi="Arial Narrow" w:cs="Al Bayan Plain"/>
          <w:color w:val="000000"/>
          <w:sz w:val="22"/>
          <w:szCs w:val="22"/>
          <w:lang w:val="hr-HR" w:eastAsia="fr-FR"/>
        </w:rPr>
      </w:pPr>
    </w:p>
    <w:p w14:paraId="5CC832C1" w14:textId="6D3CE3E1" w:rsidR="00371170" w:rsidRPr="00EB221F" w:rsidRDefault="00371170" w:rsidP="003711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46"/>
        <w:jc w:val="both"/>
        <w:rPr>
          <w:rFonts w:ascii="Arial Narrow" w:hAnsi="Arial Narrow" w:cs="Al Bayan Plain"/>
          <w:color w:val="000000"/>
          <w:sz w:val="22"/>
          <w:szCs w:val="22"/>
          <w:lang w:val="hr-HR" w:eastAsia="fr-FR"/>
        </w:rPr>
      </w:pPr>
      <w:r w:rsidRPr="00EB221F">
        <w:rPr>
          <w:rFonts w:ascii="Arial Narrow" w:hAnsi="Arial Narrow" w:cs="Al Bayan Plain"/>
          <w:color w:val="000000"/>
          <w:sz w:val="22"/>
          <w:szCs w:val="22"/>
          <w:lang w:val="hr-HR" w:eastAsia="fr-FR"/>
        </w:rPr>
        <w:t xml:space="preserve">Potrebno je da Vlada predloži izmjenu članova 26 i 27 Zakona o održavanju stambenih zgrada koji su se koristili kao </w:t>
      </w:r>
      <w:proofErr w:type="spellStart"/>
      <w:r w:rsidRPr="00EB221F">
        <w:rPr>
          <w:rFonts w:ascii="Arial Narrow" w:hAnsi="Arial Narrow" w:cs="Al Bayan Plain"/>
          <w:color w:val="000000"/>
          <w:sz w:val="22"/>
          <w:szCs w:val="22"/>
          <w:lang w:val="hr-HR" w:eastAsia="fr-FR"/>
        </w:rPr>
        <w:t>osnov</w:t>
      </w:r>
      <w:proofErr w:type="spellEnd"/>
      <w:r w:rsidRPr="00EB221F">
        <w:rPr>
          <w:rFonts w:ascii="Arial Narrow" w:hAnsi="Arial Narrow" w:cs="Al Bayan Plain"/>
          <w:color w:val="000000"/>
          <w:sz w:val="22"/>
          <w:szCs w:val="22"/>
          <w:lang w:val="hr-HR" w:eastAsia="fr-FR"/>
        </w:rPr>
        <w:t xml:space="preserve"> za donošenje i primjenu odluka o rješavanju stambenih potreba funkcionera: Odluka o rješavanju stambenih pitanja državnih službenika i namještenika i Odluka o načinu i </w:t>
      </w:r>
      <w:proofErr w:type="spellStart"/>
      <w:r w:rsidRPr="00EB221F">
        <w:rPr>
          <w:rFonts w:ascii="Arial Narrow" w:hAnsi="Arial Narrow" w:cs="Al Bayan Plain"/>
          <w:color w:val="000000"/>
          <w:sz w:val="22"/>
          <w:szCs w:val="22"/>
          <w:lang w:val="hr-HR" w:eastAsia="fr-FR"/>
        </w:rPr>
        <w:t>kriterijumima</w:t>
      </w:r>
      <w:proofErr w:type="spellEnd"/>
      <w:r w:rsidRPr="00EB221F">
        <w:rPr>
          <w:rFonts w:ascii="Arial Narrow" w:hAnsi="Arial Narrow" w:cs="Al Bayan Plain"/>
          <w:color w:val="000000"/>
          <w:sz w:val="22"/>
          <w:szCs w:val="22"/>
          <w:lang w:val="hr-HR" w:eastAsia="fr-FR"/>
        </w:rPr>
        <w:t xml:space="preserve"> za rješavanje stambenih potreba funkcionera. Smatramo da su ove odredbe opstale kao ostatak prakse ranijeg društvenog sistema, suprotno drugim sistemskim zakonskim rješenjima, Zakonu o socijalnom stanovanju, Zakonu o državnoj imovini i propisima koji uređuju prava javnih funkcionera. Institut alternativa je u junu 2019. godine uputio Ustavnom sudu inicijativu za ocjenu ustavnosti ovih odredbi. Smatramo da Vlada, u cilju stvaranja nove, </w:t>
      </w:r>
      <w:proofErr w:type="spellStart"/>
      <w:r w:rsidRPr="00EB221F">
        <w:rPr>
          <w:rFonts w:ascii="Arial Narrow" w:hAnsi="Arial Narrow" w:cs="Al Bayan Plain"/>
          <w:color w:val="000000"/>
          <w:sz w:val="22"/>
          <w:szCs w:val="22"/>
          <w:lang w:val="hr-HR" w:eastAsia="fr-FR"/>
        </w:rPr>
        <w:t>transparentnije</w:t>
      </w:r>
      <w:proofErr w:type="spellEnd"/>
      <w:r w:rsidRPr="00EB221F">
        <w:rPr>
          <w:rFonts w:ascii="Arial Narrow" w:hAnsi="Arial Narrow" w:cs="Al Bayan Plain"/>
          <w:color w:val="000000"/>
          <w:sz w:val="22"/>
          <w:szCs w:val="22"/>
          <w:lang w:val="hr-HR" w:eastAsia="fr-FR"/>
        </w:rPr>
        <w:t xml:space="preserve"> i pravednije politike rješavanja stambenih potreba u jav</w:t>
      </w:r>
      <w:r w:rsidR="00EB221F">
        <w:rPr>
          <w:rFonts w:ascii="Arial Narrow" w:hAnsi="Arial Narrow" w:cs="Al Bayan Plain"/>
          <w:color w:val="000000"/>
          <w:sz w:val="22"/>
          <w:szCs w:val="22"/>
          <w:lang w:val="hr-HR" w:eastAsia="fr-FR"/>
        </w:rPr>
        <w:t>n</w:t>
      </w:r>
      <w:r w:rsidRPr="00EB221F">
        <w:rPr>
          <w:rFonts w:ascii="Arial Narrow" w:hAnsi="Arial Narrow" w:cs="Al Bayan Plain"/>
          <w:color w:val="000000"/>
          <w:sz w:val="22"/>
          <w:szCs w:val="22"/>
          <w:lang w:val="hr-HR" w:eastAsia="fr-FR"/>
        </w:rPr>
        <w:t xml:space="preserve">oj upravi, mora početi od ukidanja pravnog osnova dosadašnje </w:t>
      </w:r>
      <w:proofErr w:type="spellStart"/>
      <w:r w:rsidRPr="00EB221F">
        <w:rPr>
          <w:rFonts w:ascii="Arial Narrow" w:hAnsi="Arial Narrow" w:cs="Al Bayan Plain"/>
          <w:color w:val="000000"/>
          <w:sz w:val="22"/>
          <w:szCs w:val="22"/>
          <w:lang w:val="hr-HR" w:eastAsia="fr-FR"/>
        </w:rPr>
        <w:t>politke</w:t>
      </w:r>
      <w:proofErr w:type="spellEnd"/>
      <w:r w:rsidRPr="00EB221F">
        <w:rPr>
          <w:rFonts w:ascii="Arial Narrow" w:hAnsi="Arial Narrow" w:cs="Al Bayan Plain"/>
          <w:color w:val="000000"/>
          <w:sz w:val="22"/>
          <w:szCs w:val="22"/>
          <w:lang w:val="hr-HR" w:eastAsia="fr-FR"/>
        </w:rPr>
        <w:t>.</w:t>
      </w:r>
    </w:p>
    <w:p w14:paraId="0EDBF5C0" w14:textId="77777777" w:rsidR="00EB221F" w:rsidRDefault="00EB221F" w:rsidP="003711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46"/>
        <w:jc w:val="both"/>
        <w:rPr>
          <w:rFonts w:ascii="Arial Narrow" w:hAnsi="Arial Narrow" w:cs="Al Bayan Plain"/>
          <w:color w:val="000000"/>
          <w:sz w:val="22"/>
          <w:szCs w:val="22"/>
          <w:lang w:val="hr-HR" w:eastAsia="fr-FR"/>
        </w:rPr>
      </w:pPr>
    </w:p>
    <w:p w14:paraId="074FF460" w14:textId="7DD927E2" w:rsidR="00371170" w:rsidRPr="00EB221F" w:rsidRDefault="00371170" w:rsidP="003711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46"/>
        <w:jc w:val="both"/>
        <w:rPr>
          <w:rFonts w:ascii="Arial Narrow" w:hAnsi="Arial Narrow" w:cs="Al Bayan Plain"/>
          <w:color w:val="000000"/>
          <w:sz w:val="22"/>
          <w:szCs w:val="22"/>
          <w:lang w:val="hr-HR" w:eastAsia="fr-FR"/>
        </w:rPr>
      </w:pPr>
      <w:r w:rsidRPr="00EB221F">
        <w:rPr>
          <w:rFonts w:ascii="Arial Narrow" w:hAnsi="Arial Narrow" w:cs="Al Bayan Plain"/>
          <w:color w:val="000000"/>
          <w:sz w:val="22"/>
          <w:szCs w:val="22"/>
          <w:lang w:val="hr-HR" w:eastAsia="fr-FR"/>
        </w:rPr>
        <w:t>Predlagač: Ministarstvo ekologije, prostornog planiranja i urbanizma</w:t>
      </w:r>
    </w:p>
    <w:p w14:paraId="215ECDAF" w14:textId="77777777" w:rsidR="00371170" w:rsidRPr="00EB221F" w:rsidRDefault="00371170" w:rsidP="003711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46"/>
        <w:jc w:val="both"/>
        <w:rPr>
          <w:rFonts w:ascii="Arial Narrow" w:hAnsi="Arial Narrow" w:cs="Al Bayan Plain"/>
          <w:color w:val="000000"/>
          <w:sz w:val="22"/>
          <w:szCs w:val="22"/>
          <w:lang w:val="hr-HR" w:eastAsia="fr-FR"/>
        </w:rPr>
      </w:pPr>
    </w:p>
    <w:p w14:paraId="66E60754" w14:textId="77777777" w:rsidR="00371170" w:rsidRPr="00EB221F" w:rsidRDefault="00371170" w:rsidP="003711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46"/>
        <w:jc w:val="both"/>
        <w:rPr>
          <w:rFonts w:ascii="Arial Narrow" w:hAnsi="Arial Narrow" w:cs="Al Bayan Plain"/>
          <w:color w:val="000000"/>
          <w:sz w:val="22"/>
          <w:szCs w:val="22"/>
          <w:lang w:val="hr-HR" w:eastAsia="fr-FR"/>
        </w:rPr>
      </w:pPr>
    </w:p>
    <w:p w14:paraId="21B403AD" w14:textId="77777777" w:rsidR="00371170" w:rsidRPr="00EB221F" w:rsidRDefault="00371170" w:rsidP="003711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46"/>
        <w:jc w:val="both"/>
        <w:rPr>
          <w:rFonts w:ascii="Arial Narrow" w:hAnsi="Arial Narrow" w:cs="Al Bayan Plain"/>
          <w:b/>
          <w:bCs/>
          <w:color w:val="000000"/>
          <w:sz w:val="22"/>
          <w:szCs w:val="22"/>
          <w:lang w:val="hr-HR" w:eastAsia="fr-FR"/>
        </w:rPr>
      </w:pPr>
      <w:r w:rsidRPr="00EB221F">
        <w:rPr>
          <w:rFonts w:ascii="Arial Narrow" w:hAnsi="Arial Narrow" w:cs="Al Bayan Plain"/>
          <w:b/>
          <w:bCs/>
          <w:color w:val="000000"/>
          <w:sz w:val="22"/>
          <w:szCs w:val="22"/>
          <w:lang w:val="hr-HR" w:eastAsia="fr-FR"/>
        </w:rPr>
        <w:t xml:space="preserve">5. Informacija o smetnjama za uspostavljanje i rad budžetske inspekcije sa </w:t>
      </w:r>
      <w:proofErr w:type="spellStart"/>
      <w:r w:rsidRPr="00EB221F">
        <w:rPr>
          <w:rFonts w:ascii="Arial Narrow" w:hAnsi="Arial Narrow" w:cs="Al Bayan Plain"/>
          <w:b/>
          <w:bCs/>
          <w:color w:val="000000"/>
          <w:sz w:val="22"/>
          <w:szCs w:val="22"/>
          <w:lang w:val="hr-HR" w:eastAsia="fr-FR"/>
        </w:rPr>
        <w:t>predlogom</w:t>
      </w:r>
      <w:proofErr w:type="spellEnd"/>
      <w:r w:rsidRPr="00EB221F">
        <w:rPr>
          <w:rFonts w:ascii="Arial Narrow" w:hAnsi="Arial Narrow" w:cs="Al Bayan Plain"/>
          <w:b/>
          <w:bCs/>
          <w:color w:val="000000"/>
          <w:sz w:val="22"/>
          <w:szCs w:val="22"/>
          <w:lang w:val="hr-HR" w:eastAsia="fr-FR"/>
        </w:rPr>
        <w:t xml:space="preserve"> hitnih mjera </w:t>
      </w:r>
    </w:p>
    <w:p w14:paraId="11FDB561" w14:textId="77777777" w:rsidR="00371170" w:rsidRPr="00EB221F" w:rsidRDefault="00371170" w:rsidP="003711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46"/>
        <w:jc w:val="both"/>
        <w:rPr>
          <w:rFonts w:ascii="Arial Narrow" w:hAnsi="Arial Narrow" w:cs="Al Bayan Plain"/>
          <w:color w:val="000000"/>
          <w:sz w:val="22"/>
          <w:szCs w:val="22"/>
          <w:lang w:val="hr-HR" w:eastAsia="fr-FR"/>
        </w:rPr>
      </w:pPr>
    </w:p>
    <w:p w14:paraId="7B2D9CAC" w14:textId="77777777" w:rsidR="00371170" w:rsidRPr="00EB221F" w:rsidRDefault="00371170" w:rsidP="003711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46"/>
        <w:jc w:val="both"/>
        <w:rPr>
          <w:rFonts w:ascii="MS Gothic" w:eastAsia="MS Gothic" w:hAnsi="MS Gothic" w:cs="MS Gothic"/>
          <w:color w:val="000000"/>
          <w:sz w:val="22"/>
          <w:szCs w:val="22"/>
          <w:lang w:val="hr-HR" w:eastAsia="fr-FR"/>
        </w:rPr>
      </w:pPr>
      <w:r w:rsidRPr="00EB221F">
        <w:rPr>
          <w:rFonts w:ascii="Arial Narrow" w:hAnsi="Arial Narrow" w:cs="Al Bayan Plain"/>
          <w:color w:val="000000"/>
          <w:sz w:val="22"/>
          <w:szCs w:val="22"/>
          <w:lang w:val="hr-HR" w:eastAsia="fr-FR"/>
        </w:rPr>
        <w:t xml:space="preserve">Informacija ima za cilj da utvrdi i predstavi smetnje za višegodišnje </w:t>
      </w:r>
      <w:proofErr w:type="spellStart"/>
      <w:r w:rsidRPr="00EB221F">
        <w:rPr>
          <w:rFonts w:ascii="Arial Narrow" w:hAnsi="Arial Narrow" w:cs="Al Bayan Plain"/>
          <w:color w:val="000000"/>
          <w:sz w:val="22"/>
          <w:szCs w:val="22"/>
          <w:lang w:val="hr-HR" w:eastAsia="fr-FR"/>
        </w:rPr>
        <w:t>nefunkcionisanje</w:t>
      </w:r>
      <w:proofErr w:type="spellEnd"/>
      <w:r w:rsidRPr="00EB221F">
        <w:rPr>
          <w:rFonts w:ascii="Arial Narrow" w:hAnsi="Arial Narrow" w:cs="Al Bayan Plain"/>
          <w:color w:val="000000"/>
          <w:sz w:val="22"/>
          <w:szCs w:val="22"/>
          <w:lang w:val="hr-HR" w:eastAsia="fr-FR"/>
        </w:rPr>
        <w:t xml:space="preserve"> budžetske inspekcije, predloži izmjene </w:t>
      </w:r>
      <w:proofErr w:type="spellStart"/>
      <w:r w:rsidRPr="00EB221F">
        <w:rPr>
          <w:rFonts w:ascii="Arial Narrow" w:hAnsi="Arial Narrow" w:cs="Al Bayan Plain"/>
          <w:color w:val="000000"/>
          <w:sz w:val="22"/>
          <w:szCs w:val="22"/>
          <w:lang w:val="hr-HR" w:eastAsia="fr-FR"/>
        </w:rPr>
        <w:t>uslova</w:t>
      </w:r>
      <w:proofErr w:type="spellEnd"/>
      <w:r w:rsidRPr="00EB221F">
        <w:rPr>
          <w:rFonts w:ascii="Arial Narrow" w:hAnsi="Arial Narrow" w:cs="Al Bayan Plain"/>
          <w:color w:val="000000"/>
          <w:sz w:val="22"/>
          <w:szCs w:val="22"/>
          <w:lang w:val="hr-HR" w:eastAsia="fr-FR"/>
        </w:rPr>
        <w:t xml:space="preserve"> za zapošljavanje budžetskih inspektora (</w:t>
      </w:r>
      <w:proofErr w:type="spellStart"/>
      <w:r w:rsidRPr="00EB221F">
        <w:rPr>
          <w:rFonts w:ascii="Arial Narrow" w:hAnsi="Arial Narrow" w:cs="Al Bayan Plain"/>
          <w:color w:val="000000"/>
          <w:sz w:val="22"/>
          <w:szCs w:val="22"/>
          <w:lang w:val="hr-HR" w:eastAsia="fr-FR"/>
        </w:rPr>
        <w:t>kriterijume</w:t>
      </w:r>
      <w:proofErr w:type="spellEnd"/>
      <w:r w:rsidRPr="00EB221F">
        <w:rPr>
          <w:rFonts w:ascii="Arial Narrow" w:hAnsi="Arial Narrow" w:cs="Al Bayan Plain"/>
          <w:color w:val="000000"/>
          <w:sz w:val="22"/>
          <w:szCs w:val="22"/>
          <w:lang w:val="hr-HR" w:eastAsia="fr-FR"/>
        </w:rPr>
        <w:t xml:space="preserve">), pitanje zarade inspektora i </w:t>
      </w:r>
      <w:proofErr w:type="spellStart"/>
      <w:r w:rsidRPr="00EB221F">
        <w:rPr>
          <w:rFonts w:ascii="Arial Narrow" w:hAnsi="Arial Narrow" w:cs="Al Bayan Plain"/>
          <w:color w:val="000000"/>
          <w:sz w:val="22"/>
          <w:szCs w:val="22"/>
          <w:lang w:val="hr-HR" w:eastAsia="fr-FR"/>
        </w:rPr>
        <w:t>uslove</w:t>
      </w:r>
      <w:proofErr w:type="spellEnd"/>
      <w:r w:rsidRPr="00EB221F">
        <w:rPr>
          <w:rFonts w:ascii="Arial Narrow" w:hAnsi="Arial Narrow" w:cs="Al Bayan Plain"/>
          <w:color w:val="000000"/>
          <w:sz w:val="22"/>
          <w:szCs w:val="22"/>
          <w:lang w:val="hr-HR" w:eastAsia="fr-FR"/>
        </w:rPr>
        <w:t xml:space="preserve"> za imenovanje i zaradu glavnog budžetskog inspektora. Tokom cijelog mandata prethodne Vlade, radna mjesta u budžetskoj inspekciji su bila prazna. Čak i kada je inspekcija </w:t>
      </w:r>
      <w:proofErr w:type="spellStart"/>
      <w:r w:rsidRPr="00EB221F">
        <w:rPr>
          <w:rFonts w:ascii="Arial Narrow" w:hAnsi="Arial Narrow" w:cs="Al Bayan Plain"/>
          <w:color w:val="000000"/>
          <w:sz w:val="22"/>
          <w:szCs w:val="22"/>
          <w:lang w:val="hr-HR" w:eastAsia="fr-FR"/>
        </w:rPr>
        <w:t>funkcionisala</w:t>
      </w:r>
      <w:proofErr w:type="spellEnd"/>
      <w:r w:rsidRPr="00EB221F">
        <w:rPr>
          <w:rFonts w:ascii="Arial Narrow" w:hAnsi="Arial Narrow" w:cs="Al Bayan Plain"/>
          <w:color w:val="000000"/>
          <w:sz w:val="22"/>
          <w:szCs w:val="22"/>
          <w:lang w:val="hr-HR" w:eastAsia="fr-FR"/>
        </w:rPr>
        <w:t xml:space="preserve">, inspekcija nije podnosila prekršajne prijave niti su podaci o njenom radom bili dostupni javnosti (zapisnici su označavani </w:t>
      </w:r>
      <w:proofErr w:type="spellStart"/>
      <w:r w:rsidRPr="00EB221F">
        <w:rPr>
          <w:rFonts w:ascii="Arial Narrow" w:hAnsi="Arial Narrow" w:cs="Al Bayan Plain"/>
          <w:color w:val="000000"/>
          <w:sz w:val="22"/>
          <w:szCs w:val="22"/>
          <w:lang w:val="hr-HR" w:eastAsia="fr-FR"/>
        </w:rPr>
        <w:t>stepenom</w:t>
      </w:r>
      <w:proofErr w:type="spellEnd"/>
      <w:r w:rsidRPr="00EB221F">
        <w:rPr>
          <w:rFonts w:ascii="Arial Narrow" w:hAnsi="Arial Narrow" w:cs="Al Bayan Plain"/>
          <w:color w:val="000000"/>
          <w:sz w:val="22"/>
          <w:szCs w:val="22"/>
          <w:lang w:val="hr-HR" w:eastAsia="fr-FR"/>
        </w:rPr>
        <w:t xml:space="preserve"> tajnosti interno). Budžetska inspekcija bi mogla da odigra ključnu ulogu u uvođenju više reda u način na koji se novac troši u cijelom javnom sektoru, pretrese prethodne prakse ali i spriječi da se ponavljaju u budućnosti. Više detalja o mogućim koracima za rješenje ovog dugogodišnjeg problema su dostupni na: </w:t>
      </w:r>
      <w:hyperlink r:id="rId9" w:history="1">
        <w:r w:rsidRPr="00EB221F">
          <w:rPr>
            <w:rFonts w:ascii="Arial Narrow" w:hAnsi="Arial Narrow" w:cs="Al Bayan Plain"/>
            <w:color w:val="000000"/>
            <w:sz w:val="22"/>
            <w:szCs w:val="22"/>
            <w:u w:val="single"/>
            <w:lang w:val="hr-HR" w:eastAsia="fr-FR"/>
          </w:rPr>
          <w:t>https://institut-alternativa.org/jaka-budzetska-inspekcija-u-tri-koraka/</w:t>
        </w:r>
      </w:hyperlink>
      <w:r w:rsidRPr="00EB221F">
        <w:rPr>
          <w:rFonts w:ascii="MS Gothic" w:eastAsia="MS Gothic" w:hAnsi="MS Gothic" w:cs="MS Gothic"/>
          <w:color w:val="000000"/>
          <w:sz w:val="22"/>
          <w:szCs w:val="22"/>
          <w:lang w:val="hr-HR" w:eastAsia="fr-FR"/>
        </w:rPr>
        <w:t> </w:t>
      </w:r>
    </w:p>
    <w:p w14:paraId="7D947E99" w14:textId="77777777" w:rsidR="00371170" w:rsidRPr="00EB221F" w:rsidRDefault="00371170" w:rsidP="003711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46"/>
        <w:jc w:val="both"/>
        <w:rPr>
          <w:rFonts w:ascii="MS Gothic" w:eastAsia="MS Gothic" w:hAnsi="MS Gothic" w:cs="MS Gothic"/>
          <w:color w:val="000000"/>
          <w:sz w:val="22"/>
          <w:szCs w:val="22"/>
          <w:lang w:val="hr-HR" w:eastAsia="fr-FR"/>
        </w:rPr>
      </w:pPr>
    </w:p>
    <w:p w14:paraId="4D240030" w14:textId="1FE05E75" w:rsidR="00371170" w:rsidRPr="00EB221F" w:rsidRDefault="00371170" w:rsidP="003711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46"/>
        <w:jc w:val="both"/>
        <w:rPr>
          <w:rFonts w:ascii="Arial Narrow" w:hAnsi="Arial Narrow" w:cs="Al Bayan Plain"/>
          <w:color w:val="000000"/>
          <w:sz w:val="22"/>
          <w:szCs w:val="22"/>
          <w:lang w:val="hr-HR" w:eastAsia="fr-FR"/>
        </w:rPr>
      </w:pPr>
      <w:r w:rsidRPr="00EB221F">
        <w:rPr>
          <w:rFonts w:ascii="Arial Narrow" w:hAnsi="Arial Narrow" w:cs="Al Bayan Plain"/>
          <w:color w:val="000000"/>
          <w:sz w:val="22"/>
          <w:szCs w:val="22"/>
          <w:lang w:val="hr-HR" w:eastAsia="fr-FR"/>
        </w:rPr>
        <w:t xml:space="preserve">Predlagač: Ministarstvo </w:t>
      </w:r>
      <w:proofErr w:type="spellStart"/>
      <w:r w:rsidRPr="00EB221F">
        <w:rPr>
          <w:rFonts w:ascii="Arial Narrow" w:hAnsi="Arial Narrow" w:cs="Al Bayan Plain"/>
          <w:color w:val="000000"/>
          <w:sz w:val="22"/>
          <w:szCs w:val="22"/>
          <w:lang w:val="hr-HR" w:eastAsia="fr-FR"/>
        </w:rPr>
        <w:t>finansija</w:t>
      </w:r>
      <w:proofErr w:type="spellEnd"/>
      <w:r w:rsidRPr="00EB221F">
        <w:rPr>
          <w:rFonts w:ascii="Arial Narrow" w:hAnsi="Arial Narrow" w:cs="Al Bayan Plain"/>
          <w:color w:val="000000"/>
          <w:sz w:val="22"/>
          <w:szCs w:val="22"/>
          <w:lang w:val="hr-HR" w:eastAsia="fr-FR"/>
        </w:rPr>
        <w:t xml:space="preserve"> i socijalnog staranja</w:t>
      </w:r>
    </w:p>
    <w:p w14:paraId="792802E2" w14:textId="77777777" w:rsidR="00371170" w:rsidRPr="00EB221F" w:rsidRDefault="00371170" w:rsidP="003711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46"/>
        <w:jc w:val="both"/>
        <w:rPr>
          <w:rFonts w:ascii="Arial Narrow" w:hAnsi="Arial Narrow" w:cs="Al Bayan Plain"/>
          <w:color w:val="000000"/>
          <w:sz w:val="22"/>
          <w:szCs w:val="22"/>
          <w:lang w:val="hr-HR" w:eastAsia="fr-FR"/>
        </w:rPr>
      </w:pPr>
    </w:p>
    <w:p w14:paraId="0F0382F4" w14:textId="77777777" w:rsidR="00371170" w:rsidRPr="00EB221F" w:rsidRDefault="00371170" w:rsidP="003711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46"/>
        <w:jc w:val="both"/>
        <w:rPr>
          <w:rFonts w:ascii="Arial Narrow" w:hAnsi="Arial Narrow" w:cs="Al Bayan Plain"/>
          <w:color w:val="000000"/>
          <w:sz w:val="22"/>
          <w:szCs w:val="22"/>
          <w:lang w:val="hr-HR" w:eastAsia="fr-FR"/>
        </w:rPr>
      </w:pPr>
    </w:p>
    <w:p w14:paraId="14C37F05" w14:textId="42C2E7C8" w:rsidR="00371170" w:rsidRPr="00EB221F" w:rsidRDefault="00371170" w:rsidP="003711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46"/>
        <w:jc w:val="both"/>
        <w:rPr>
          <w:rFonts w:ascii="Arial Narrow" w:hAnsi="Arial Narrow" w:cs="Al Bayan Plain"/>
          <w:b/>
          <w:bCs/>
          <w:color w:val="000000"/>
          <w:sz w:val="22"/>
          <w:szCs w:val="22"/>
          <w:lang w:val="hr-HR" w:eastAsia="fr-FR"/>
        </w:rPr>
      </w:pPr>
      <w:r w:rsidRPr="00EB221F">
        <w:rPr>
          <w:rFonts w:ascii="Arial Narrow" w:hAnsi="Arial Narrow" w:cs="Al Bayan Plain"/>
          <w:b/>
          <w:bCs/>
          <w:color w:val="000000"/>
          <w:sz w:val="22"/>
          <w:szCs w:val="22"/>
          <w:lang w:val="hr-HR" w:eastAsia="fr-FR"/>
        </w:rPr>
        <w:t>6. Informacija o razlozima kašnjenja u uspostavljanju evidencije državne imovine i elektronskog registra</w:t>
      </w:r>
    </w:p>
    <w:p w14:paraId="2AEC9505" w14:textId="77777777" w:rsidR="00371170" w:rsidRPr="00EB221F" w:rsidRDefault="00371170" w:rsidP="003711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46"/>
        <w:jc w:val="both"/>
        <w:rPr>
          <w:rFonts w:ascii="Arial Narrow" w:hAnsi="Arial Narrow" w:cs="Al Bayan Plain"/>
          <w:color w:val="000000"/>
          <w:sz w:val="22"/>
          <w:szCs w:val="22"/>
          <w:lang w:val="hr-HR" w:eastAsia="fr-FR"/>
        </w:rPr>
      </w:pPr>
    </w:p>
    <w:p w14:paraId="02C5A894" w14:textId="70613630" w:rsidR="00371170" w:rsidRPr="00EB221F" w:rsidRDefault="00371170" w:rsidP="003711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46"/>
        <w:jc w:val="both"/>
        <w:rPr>
          <w:rFonts w:ascii="MS Gothic" w:eastAsia="MS Gothic" w:hAnsi="MS Gothic" w:cs="MS Gothic"/>
          <w:color w:val="000000"/>
          <w:sz w:val="22"/>
          <w:szCs w:val="22"/>
          <w:lang w:val="hr-HR" w:eastAsia="fr-FR"/>
        </w:rPr>
      </w:pPr>
      <w:r w:rsidRPr="00EB221F">
        <w:rPr>
          <w:rFonts w:ascii="Arial Narrow" w:hAnsi="Arial Narrow" w:cs="Al Bayan Plain"/>
          <w:color w:val="000000"/>
          <w:sz w:val="22"/>
          <w:szCs w:val="22"/>
          <w:lang w:val="hr-HR" w:eastAsia="fr-FR"/>
        </w:rPr>
        <w:lastRenderedPageBreak/>
        <w:t xml:space="preserve">Ministarstvo </w:t>
      </w:r>
      <w:proofErr w:type="spellStart"/>
      <w:r w:rsidRPr="00EB221F">
        <w:rPr>
          <w:rFonts w:ascii="Arial Narrow" w:hAnsi="Arial Narrow" w:cs="Al Bayan Plain"/>
          <w:color w:val="000000"/>
          <w:sz w:val="22"/>
          <w:szCs w:val="22"/>
          <w:lang w:val="hr-HR" w:eastAsia="fr-FR"/>
        </w:rPr>
        <w:t>finansija</w:t>
      </w:r>
      <w:proofErr w:type="spellEnd"/>
      <w:r w:rsidRPr="00EB221F">
        <w:rPr>
          <w:rFonts w:ascii="Arial Narrow" w:hAnsi="Arial Narrow" w:cs="Al Bayan Plain"/>
          <w:color w:val="000000"/>
          <w:sz w:val="22"/>
          <w:szCs w:val="22"/>
          <w:lang w:val="hr-HR" w:eastAsia="fr-FR"/>
        </w:rPr>
        <w:t xml:space="preserve"> treba da sačini informaciju o preprekama i razlozima u kašnjen</w:t>
      </w:r>
      <w:r w:rsidR="00EB221F">
        <w:rPr>
          <w:rFonts w:ascii="Arial Narrow" w:hAnsi="Arial Narrow" w:cs="Al Bayan Plain"/>
          <w:color w:val="000000"/>
          <w:sz w:val="22"/>
          <w:szCs w:val="22"/>
          <w:lang w:val="hr-HR" w:eastAsia="fr-FR"/>
        </w:rPr>
        <w:t>j</w:t>
      </w:r>
      <w:r w:rsidRPr="00EB221F">
        <w:rPr>
          <w:rFonts w:ascii="Arial Narrow" w:hAnsi="Arial Narrow" w:cs="Al Bayan Plain"/>
          <w:color w:val="000000"/>
          <w:sz w:val="22"/>
          <w:szCs w:val="22"/>
          <w:lang w:val="hr-HR" w:eastAsia="fr-FR"/>
        </w:rPr>
        <w:t xml:space="preserve">u uspostavljanja evidencije državne imovine, u skladu sa Zakonom o državnoj imovini, i elektronskog registra, u skladu sa Programom reforme upravljanja javnim </w:t>
      </w:r>
      <w:proofErr w:type="spellStart"/>
      <w:r w:rsidRPr="00EB221F">
        <w:rPr>
          <w:rFonts w:ascii="Arial Narrow" w:hAnsi="Arial Narrow" w:cs="Al Bayan Plain"/>
          <w:color w:val="000000"/>
          <w:sz w:val="22"/>
          <w:szCs w:val="22"/>
          <w:lang w:val="hr-HR" w:eastAsia="fr-FR"/>
        </w:rPr>
        <w:t>finansijama</w:t>
      </w:r>
      <w:proofErr w:type="spellEnd"/>
      <w:r w:rsidRPr="00EB221F">
        <w:rPr>
          <w:rFonts w:ascii="Arial Narrow" w:hAnsi="Arial Narrow" w:cs="Al Bayan Plain"/>
          <w:color w:val="000000"/>
          <w:sz w:val="22"/>
          <w:szCs w:val="22"/>
          <w:lang w:val="hr-HR" w:eastAsia="fr-FR"/>
        </w:rPr>
        <w:t xml:space="preserve">, sa pregledom </w:t>
      </w:r>
      <w:proofErr w:type="spellStart"/>
      <w:r w:rsidRPr="00EB221F">
        <w:rPr>
          <w:rFonts w:ascii="Arial Narrow" w:hAnsi="Arial Narrow" w:cs="Al Bayan Plain"/>
          <w:color w:val="000000"/>
          <w:sz w:val="22"/>
          <w:szCs w:val="22"/>
          <w:lang w:val="hr-HR" w:eastAsia="fr-FR"/>
        </w:rPr>
        <w:t>preduzetih</w:t>
      </w:r>
      <w:proofErr w:type="spellEnd"/>
      <w:r w:rsidRPr="00EB221F">
        <w:rPr>
          <w:rFonts w:ascii="Arial Narrow" w:hAnsi="Arial Narrow" w:cs="Al Bayan Plain"/>
          <w:color w:val="000000"/>
          <w:sz w:val="22"/>
          <w:szCs w:val="22"/>
          <w:lang w:val="hr-HR" w:eastAsia="fr-FR"/>
        </w:rPr>
        <w:t xml:space="preserve"> mjera i preporukama za </w:t>
      </w:r>
      <w:proofErr w:type="spellStart"/>
      <w:r w:rsidRPr="00EB221F">
        <w:rPr>
          <w:rFonts w:ascii="Arial Narrow" w:hAnsi="Arial Narrow" w:cs="Al Bayan Plain"/>
          <w:color w:val="000000"/>
          <w:sz w:val="22"/>
          <w:szCs w:val="22"/>
          <w:lang w:val="hr-HR" w:eastAsia="fr-FR"/>
        </w:rPr>
        <w:t>prevazilaženje</w:t>
      </w:r>
      <w:proofErr w:type="spellEnd"/>
      <w:r w:rsidRPr="00EB221F">
        <w:rPr>
          <w:rFonts w:ascii="Arial Narrow" w:hAnsi="Arial Narrow" w:cs="Al Bayan Plain"/>
          <w:color w:val="000000"/>
          <w:sz w:val="22"/>
          <w:szCs w:val="22"/>
          <w:lang w:val="hr-HR" w:eastAsia="fr-FR"/>
        </w:rPr>
        <w:t xml:space="preserve"> aktuelne situacije. </w:t>
      </w:r>
    </w:p>
    <w:p w14:paraId="134A44C4" w14:textId="77777777" w:rsidR="00371170" w:rsidRPr="00EB221F" w:rsidRDefault="00371170" w:rsidP="003711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46"/>
        <w:jc w:val="both"/>
        <w:rPr>
          <w:rFonts w:ascii="MS Gothic" w:eastAsia="MS Gothic" w:hAnsi="MS Gothic" w:cs="MS Gothic"/>
          <w:color w:val="000000"/>
          <w:sz w:val="22"/>
          <w:szCs w:val="22"/>
          <w:lang w:val="hr-HR" w:eastAsia="fr-FR"/>
        </w:rPr>
      </w:pPr>
    </w:p>
    <w:p w14:paraId="511DAF1E" w14:textId="73E0D4A2" w:rsidR="00371170" w:rsidRPr="00EB221F" w:rsidRDefault="00371170" w:rsidP="003711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46"/>
        <w:jc w:val="both"/>
        <w:rPr>
          <w:rFonts w:ascii="Arial Narrow" w:hAnsi="Arial Narrow" w:cs="Al Bayan Plain"/>
          <w:color w:val="000000"/>
          <w:sz w:val="22"/>
          <w:szCs w:val="22"/>
          <w:lang w:val="hr-HR" w:eastAsia="fr-FR"/>
        </w:rPr>
      </w:pPr>
      <w:r w:rsidRPr="00EB221F">
        <w:rPr>
          <w:rFonts w:ascii="Arial Narrow" w:hAnsi="Arial Narrow" w:cs="Al Bayan Plain"/>
          <w:color w:val="000000"/>
          <w:sz w:val="22"/>
          <w:szCs w:val="22"/>
          <w:lang w:val="hr-HR" w:eastAsia="fr-FR"/>
        </w:rPr>
        <w:t xml:space="preserve">Predlagač: Ministarstvo </w:t>
      </w:r>
      <w:proofErr w:type="spellStart"/>
      <w:r w:rsidRPr="00EB221F">
        <w:rPr>
          <w:rFonts w:ascii="Arial Narrow" w:hAnsi="Arial Narrow" w:cs="Al Bayan Plain"/>
          <w:color w:val="000000"/>
          <w:sz w:val="22"/>
          <w:szCs w:val="22"/>
          <w:lang w:val="hr-HR" w:eastAsia="fr-FR"/>
        </w:rPr>
        <w:t>finansija</w:t>
      </w:r>
      <w:proofErr w:type="spellEnd"/>
      <w:r w:rsidRPr="00EB221F">
        <w:rPr>
          <w:rFonts w:ascii="Arial Narrow" w:hAnsi="Arial Narrow" w:cs="Al Bayan Plain"/>
          <w:color w:val="000000"/>
          <w:sz w:val="22"/>
          <w:szCs w:val="22"/>
          <w:lang w:val="hr-HR" w:eastAsia="fr-FR"/>
        </w:rPr>
        <w:t xml:space="preserve"> i socijalnog staranja</w:t>
      </w:r>
    </w:p>
    <w:p w14:paraId="7AD3E49E" w14:textId="77777777" w:rsidR="00371170" w:rsidRPr="00EB221F" w:rsidRDefault="00371170" w:rsidP="003711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46"/>
        <w:jc w:val="both"/>
        <w:rPr>
          <w:rFonts w:ascii="Arial Narrow" w:hAnsi="Arial Narrow" w:cs="Al Bayan Plain"/>
          <w:color w:val="000000"/>
          <w:sz w:val="22"/>
          <w:szCs w:val="22"/>
          <w:lang w:val="hr-HR" w:eastAsia="fr-FR"/>
        </w:rPr>
      </w:pPr>
    </w:p>
    <w:p w14:paraId="2DF66F9F" w14:textId="77777777" w:rsidR="00371170" w:rsidRPr="00EB221F" w:rsidRDefault="00371170" w:rsidP="003711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46"/>
        <w:jc w:val="both"/>
        <w:rPr>
          <w:rFonts w:ascii="Arial Narrow" w:hAnsi="Arial Narrow" w:cs="Al Bayan Plain"/>
          <w:color w:val="000000"/>
          <w:sz w:val="22"/>
          <w:szCs w:val="22"/>
          <w:lang w:val="hr-HR" w:eastAsia="fr-FR"/>
        </w:rPr>
      </w:pPr>
    </w:p>
    <w:p w14:paraId="6224E1BB" w14:textId="77777777" w:rsidR="00371170" w:rsidRPr="00EB221F" w:rsidRDefault="00371170" w:rsidP="003711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46"/>
        <w:jc w:val="both"/>
        <w:rPr>
          <w:rFonts w:ascii="Arial Narrow" w:hAnsi="Arial Narrow" w:cs="Al Bayan Plain"/>
          <w:b/>
          <w:bCs/>
          <w:color w:val="000000"/>
          <w:sz w:val="22"/>
          <w:szCs w:val="22"/>
          <w:lang w:val="hr-HR" w:eastAsia="fr-FR"/>
        </w:rPr>
      </w:pPr>
      <w:r w:rsidRPr="00EB221F">
        <w:rPr>
          <w:rFonts w:ascii="Arial Narrow" w:hAnsi="Arial Narrow" w:cs="Al Bayan Plain"/>
          <w:b/>
          <w:bCs/>
          <w:color w:val="000000"/>
          <w:sz w:val="22"/>
          <w:szCs w:val="22"/>
          <w:lang w:val="hr-HR" w:eastAsia="fr-FR"/>
        </w:rPr>
        <w:t xml:space="preserve">7. Akcioni plan za </w:t>
      </w:r>
      <w:proofErr w:type="spellStart"/>
      <w:r w:rsidRPr="00EB221F">
        <w:rPr>
          <w:rFonts w:ascii="Arial Narrow" w:hAnsi="Arial Narrow" w:cs="Al Bayan Plain"/>
          <w:b/>
          <w:bCs/>
          <w:color w:val="000000"/>
          <w:sz w:val="22"/>
          <w:szCs w:val="22"/>
          <w:lang w:val="hr-HR" w:eastAsia="fr-FR"/>
        </w:rPr>
        <w:t>sprovođenje</w:t>
      </w:r>
      <w:proofErr w:type="spellEnd"/>
      <w:r w:rsidRPr="00EB221F">
        <w:rPr>
          <w:rFonts w:ascii="Arial Narrow" w:hAnsi="Arial Narrow" w:cs="Al Bayan Plain"/>
          <w:b/>
          <w:bCs/>
          <w:color w:val="000000"/>
          <w:sz w:val="22"/>
          <w:szCs w:val="22"/>
          <w:lang w:val="hr-HR" w:eastAsia="fr-FR"/>
        </w:rPr>
        <w:t xml:space="preserve"> preporuka Državne revizorske institucije</w:t>
      </w:r>
    </w:p>
    <w:p w14:paraId="3BF49AE6" w14:textId="77777777" w:rsidR="00371170" w:rsidRPr="00EB221F" w:rsidRDefault="00371170" w:rsidP="003711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46"/>
        <w:jc w:val="both"/>
        <w:rPr>
          <w:rFonts w:ascii="Arial Narrow" w:hAnsi="Arial Narrow" w:cs="Al Bayan Plain"/>
          <w:color w:val="000000"/>
          <w:sz w:val="22"/>
          <w:szCs w:val="22"/>
          <w:lang w:val="hr-HR" w:eastAsia="fr-FR"/>
        </w:rPr>
      </w:pPr>
    </w:p>
    <w:p w14:paraId="31E74CD6" w14:textId="30026BD5" w:rsidR="00371170" w:rsidRPr="00EB221F" w:rsidRDefault="00371170" w:rsidP="003711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46"/>
        <w:jc w:val="both"/>
        <w:rPr>
          <w:rFonts w:ascii="Arial Narrow" w:hAnsi="Arial Narrow" w:cs="Al Bayan Plain"/>
          <w:color w:val="000000"/>
          <w:sz w:val="22"/>
          <w:szCs w:val="22"/>
          <w:lang w:val="hr-HR" w:eastAsia="fr-FR"/>
        </w:rPr>
      </w:pPr>
      <w:r w:rsidRPr="00EB221F">
        <w:rPr>
          <w:rFonts w:ascii="Arial Narrow" w:hAnsi="Arial Narrow" w:cs="Al Bayan Plain"/>
          <w:color w:val="000000"/>
          <w:sz w:val="22"/>
          <w:szCs w:val="22"/>
          <w:lang w:val="hr-HR" w:eastAsia="fr-FR"/>
        </w:rPr>
        <w:t xml:space="preserve">Potrebno je da Vlada pripremi plan </w:t>
      </w:r>
      <w:proofErr w:type="spellStart"/>
      <w:r w:rsidRPr="00EB221F">
        <w:rPr>
          <w:rFonts w:ascii="Arial Narrow" w:hAnsi="Arial Narrow" w:cs="Al Bayan Plain"/>
          <w:color w:val="000000"/>
          <w:sz w:val="22"/>
          <w:szCs w:val="22"/>
          <w:lang w:val="hr-HR" w:eastAsia="fr-FR"/>
        </w:rPr>
        <w:t>sprovođenja</w:t>
      </w:r>
      <w:proofErr w:type="spellEnd"/>
      <w:r w:rsidRPr="00EB221F">
        <w:rPr>
          <w:rFonts w:ascii="Arial Narrow" w:hAnsi="Arial Narrow" w:cs="Al Bayan Plain"/>
          <w:color w:val="000000"/>
          <w:sz w:val="22"/>
          <w:szCs w:val="22"/>
          <w:lang w:val="hr-HR" w:eastAsia="fr-FR"/>
        </w:rPr>
        <w:t xml:space="preserve"> preporuka </w:t>
      </w:r>
      <w:proofErr w:type="spellStart"/>
      <w:r w:rsidRPr="00EB221F">
        <w:rPr>
          <w:rFonts w:ascii="Arial Narrow" w:hAnsi="Arial Narrow" w:cs="Al Bayan Plain"/>
          <w:color w:val="000000"/>
          <w:sz w:val="22"/>
          <w:szCs w:val="22"/>
          <w:lang w:val="hr-HR" w:eastAsia="fr-FR"/>
        </w:rPr>
        <w:t>datih</w:t>
      </w:r>
      <w:proofErr w:type="spellEnd"/>
      <w:r w:rsidRPr="00EB221F">
        <w:rPr>
          <w:rFonts w:ascii="Arial Narrow" w:hAnsi="Arial Narrow" w:cs="Al Bayan Plain"/>
          <w:color w:val="000000"/>
          <w:sz w:val="22"/>
          <w:szCs w:val="22"/>
          <w:lang w:val="hr-HR" w:eastAsia="fr-FR"/>
        </w:rPr>
        <w:t xml:space="preserve"> u Izvještaju o reviziji završnog računa bu</w:t>
      </w:r>
      <w:r w:rsidR="00EB221F">
        <w:rPr>
          <w:rFonts w:ascii="Arial Narrow" w:hAnsi="Arial Narrow" w:cs="Al Bayan Plain"/>
          <w:color w:val="000000"/>
          <w:sz w:val="22"/>
          <w:szCs w:val="22"/>
          <w:lang w:val="hr-HR" w:eastAsia="fr-FR"/>
        </w:rPr>
        <w:t>d</w:t>
      </w:r>
      <w:r w:rsidRPr="00EB221F">
        <w:rPr>
          <w:rFonts w:ascii="Arial Narrow" w:hAnsi="Arial Narrow" w:cs="Al Bayan Plain"/>
          <w:color w:val="000000"/>
          <w:sz w:val="22"/>
          <w:szCs w:val="22"/>
          <w:lang w:val="hr-HR" w:eastAsia="fr-FR"/>
        </w:rPr>
        <w:t xml:space="preserve">žeta za 2019. godinu. Akcioni plan za </w:t>
      </w:r>
      <w:proofErr w:type="spellStart"/>
      <w:r w:rsidRPr="00EB221F">
        <w:rPr>
          <w:rFonts w:ascii="Arial Narrow" w:hAnsi="Arial Narrow" w:cs="Al Bayan Plain"/>
          <w:color w:val="000000"/>
          <w:sz w:val="22"/>
          <w:szCs w:val="22"/>
          <w:lang w:val="hr-HR" w:eastAsia="fr-FR"/>
        </w:rPr>
        <w:t>sprovođenje</w:t>
      </w:r>
      <w:proofErr w:type="spellEnd"/>
      <w:r w:rsidRPr="00EB221F">
        <w:rPr>
          <w:rFonts w:ascii="Arial Narrow" w:hAnsi="Arial Narrow" w:cs="Al Bayan Plain"/>
          <w:color w:val="000000"/>
          <w:sz w:val="22"/>
          <w:szCs w:val="22"/>
          <w:lang w:val="hr-HR" w:eastAsia="fr-FR"/>
        </w:rPr>
        <w:t xml:space="preserve"> preporuka DRI mora imati jasne rokove za </w:t>
      </w:r>
      <w:proofErr w:type="spellStart"/>
      <w:r w:rsidRPr="00EB221F">
        <w:rPr>
          <w:rFonts w:ascii="Arial Narrow" w:hAnsi="Arial Narrow" w:cs="Al Bayan Plain"/>
          <w:color w:val="000000"/>
          <w:sz w:val="22"/>
          <w:szCs w:val="22"/>
          <w:lang w:val="hr-HR" w:eastAsia="fr-FR"/>
        </w:rPr>
        <w:t>sprovođenje</w:t>
      </w:r>
      <w:proofErr w:type="spellEnd"/>
      <w:r w:rsidRPr="00EB221F">
        <w:rPr>
          <w:rFonts w:ascii="Arial Narrow" w:hAnsi="Arial Narrow" w:cs="Al Bayan Plain"/>
          <w:color w:val="000000"/>
          <w:sz w:val="22"/>
          <w:szCs w:val="22"/>
          <w:lang w:val="hr-HR" w:eastAsia="fr-FR"/>
        </w:rPr>
        <w:t xml:space="preserve"> preporuka, </w:t>
      </w:r>
      <w:proofErr w:type="spellStart"/>
      <w:r w:rsidRPr="00EB221F">
        <w:rPr>
          <w:rFonts w:ascii="Arial Narrow" w:hAnsi="Arial Narrow" w:cs="Al Bayan Plain"/>
          <w:color w:val="000000"/>
          <w:sz w:val="22"/>
          <w:szCs w:val="22"/>
          <w:lang w:val="hr-HR" w:eastAsia="fr-FR"/>
        </w:rPr>
        <w:t>definisane</w:t>
      </w:r>
      <w:proofErr w:type="spellEnd"/>
      <w:r w:rsidRPr="00EB221F">
        <w:rPr>
          <w:rFonts w:ascii="Arial Narrow" w:hAnsi="Arial Narrow" w:cs="Al Bayan Plain"/>
          <w:color w:val="000000"/>
          <w:sz w:val="22"/>
          <w:szCs w:val="22"/>
          <w:lang w:val="hr-HR" w:eastAsia="fr-FR"/>
        </w:rPr>
        <w:t xml:space="preserve"> konkretne aktivnosti koje treba </w:t>
      </w:r>
      <w:proofErr w:type="spellStart"/>
      <w:r w:rsidRPr="00EB221F">
        <w:rPr>
          <w:rFonts w:ascii="Arial Narrow" w:hAnsi="Arial Narrow" w:cs="Al Bayan Plain"/>
          <w:color w:val="000000"/>
          <w:sz w:val="22"/>
          <w:szCs w:val="22"/>
          <w:lang w:val="hr-HR" w:eastAsia="fr-FR"/>
        </w:rPr>
        <w:t>preduzeti</w:t>
      </w:r>
      <w:proofErr w:type="spellEnd"/>
      <w:r w:rsidRPr="00EB221F">
        <w:rPr>
          <w:rFonts w:ascii="Arial Narrow" w:hAnsi="Arial Narrow" w:cs="Al Bayan Plain"/>
          <w:color w:val="000000"/>
          <w:sz w:val="22"/>
          <w:szCs w:val="22"/>
          <w:lang w:val="hr-HR" w:eastAsia="fr-FR"/>
        </w:rPr>
        <w:t>, indikatore kojima će se mjeriti da li je nešto sprovedeno kao i precizno određene nosioce aktivnosti. Sastavni dio ovog plana, osim novih preporuka moraju biti i neispunjene preporuke iz prethodne godine (a njih je dvije trećine od ukupnog broja), koje se ne smiju zaboraviti.</w:t>
      </w:r>
    </w:p>
    <w:p w14:paraId="117B7B12" w14:textId="77777777" w:rsidR="00371170" w:rsidRPr="00EB221F" w:rsidRDefault="00371170" w:rsidP="003711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46"/>
        <w:jc w:val="both"/>
        <w:rPr>
          <w:rFonts w:ascii="Arial Narrow" w:hAnsi="Arial Narrow" w:cs="Al Bayan Plain"/>
          <w:color w:val="000000"/>
          <w:sz w:val="22"/>
          <w:szCs w:val="22"/>
          <w:lang w:val="hr-HR" w:eastAsia="fr-FR"/>
        </w:rPr>
      </w:pPr>
    </w:p>
    <w:p w14:paraId="492D2666" w14:textId="77777777" w:rsidR="00371170" w:rsidRPr="00EB221F" w:rsidRDefault="00371170" w:rsidP="003711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46"/>
        <w:jc w:val="both"/>
        <w:rPr>
          <w:rFonts w:ascii="Arial Narrow" w:hAnsi="Arial Narrow" w:cs="Al Bayan Plain"/>
          <w:color w:val="000000"/>
          <w:sz w:val="22"/>
          <w:szCs w:val="22"/>
          <w:lang w:val="hr-HR" w:eastAsia="fr-FR"/>
        </w:rPr>
      </w:pPr>
      <w:r w:rsidRPr="00EB221F">
        <w:rPr>
          <w:rFonts w:ascii="Arial Narrow" w:hAnsi="Arial Narrow" w:cs="Al Bayan Plain"/>
          <w:color w:val="000000"/>
          <w:sz w:val="22"/>
          <w:szCs w:val="22"/>
          <w:lang w:val="hr-HR" w:eastAsia="fr-FR"/>
        </w:rPr>
        <w:t xml:space="preserve">Predlagač: Ministarstvo </w:t>
      </w:r>
      <w:proofErr w:type="spellStart"/>
      <w:r w:rsidRPr="00EB221F">
        <w:rPr>
          <w:rFonts w:ascii="Arial Narrow" w:hAnsi="Arial Narrow" w:cs="Al Bayan Plain"/>
          <w:color w:val="000000"/>
          <w:sz w:val="22"/>
          <w:szCs w:val="22"/>
          <w:lang w:val="hr-HR" w:eastAsia="fr-FR"/>
        </w:rPr>
        <w:t>finansija</w:t>
      </w:r>
      <w:proofErr w:type="spellEnd"/>
      <w:r w:rsidRPr="00EB221F">
        <w:rPr>
          <w:rFonts w:ascii="Arial Narrow" w:hAnsi="Arial Narrow" w:cs="Al Bayan Plain"/>
          <w:color w:val="000000"/>
          <w:sz w:val="22"/>
          <w:szCs w:val="22"/>
          <w:lang w:val="hr-HR" w:eastAsia="fr-FR"/>
        </w:rPr>
        <w:t xml:space="preserve"> i socijalnog staranja</w:t>
      </w:r>
    </w:p>
    <w:p w14:paraId="6426EE1F" w14:textId="77777777" w:rsidR="00371170" w:rsidRPr="00EB221F" w:rsidRDefault="00371170" w:rsidP="003711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46"/>
        <w:jc w:val="both"/>
        <w:rPr>
          <w:rFonts w:ascii="Arial Narrow" w:hAnsi="Arial Narrow" w:cs="Al Bayan Plain"/>
          <w:color w:val="000000"/>
          <w:sz w:val="22"/>
          <w:szCs w:val="22"/>
          <w:lang w:val="hr-HR" w:eastAsia="fr-FR"/>
        </w:rPr>
      </w:pPr>
    </w:p>
    <w:p w14:paraId="4489F7A6" w14:textId="77777777" w:rsidR="00371170" w:rsidRPr="00EB221F" w:rsidRDefault="00371170" w:rsidP="003711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46"/>
        <w:jc w:val="both"/>
        <w:rPr>
          <w:rFonts w:ascii="Arial Narrow" w:hAnsi="Arial Narrow" w:cs="Al Bayan Plain"/>
          <w:color w:val="000000"/>
          <w:sz w:val="22"/>
          <w:szCs w:val="22"/>
          <w:lang w:val="hr-HR" w:eastAsia="fr-FR"/>
        </w:rPr>
      </w:pPr>
    </w:p>
    <w:p w14:paraId="7BEE73B7" w14:textId="77777777" w:rsidR="00371170" w:rsidRPr="00EB221F" w:rsidRDefault="00371170" w:rsidP="003711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46"/>
        <w:jc w:val="both"/>
        <w:rPr>
          <w:rFonts w:ascii="Arial Narrow" w:hAnsi="Arial Narrow" w:cs="Al Bayan Plain"/>
          <w:b/>
          <w:bCs/>
          <w:color w:val="000000"/>
          <w:sz w:val="22"/>
          <w:szCs w:val="22"/>
          <w:lang w:val="hr-HR" w:eastAsia="fr-FR"/>
        </w:rPr>
      </w:pPr>
      <w:r w:rsidRPr="00EB221F">
        <w:rPr>
          <w:rFonts w:ascii="Arial Narrow" w:hAnsi="Arial Narrow" w:cs="Al Bayan Plain"/>
          <w:b/>
          <w:bCs/>
          <w:color w:val="000000"/>
          <w:sz w:val="22"/>
          <w:szCs w:val="22"/>
          <w:lang w:val="hr-HR" w:eastAsia="fr-FR"/>
        </w:rPr>
        <w:t>8. Prijedlog zakona o završnom računu budžeta za 2019. godinu</w:t>
      </w:r>
    </w:p>
    <w:p w14:paraId="05DA4093" w14:textId="77777777" w:rsidR="00371170" w:rsidRPr="00EB221F" w:rsidRDefault="00371170" w:rsidP="003711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46"/>
        <w:jc w:val="both"/>
        <w:rPr>
          <w:rFonts w:ascii="Arial Narrow" w:hAnsi="Arial Narrow" w:cs="Al Bayan Plain"/>
          <w:color w:val="000000"/>
          <w:sz w:val="22"/>
          <w:szCs w:val="22"/>
          <w:lang w:val="hr-HR" w:eastAsia="fr-FR"/>
        </w:rPr>
      </w:pPr>
    </w:p>
    <w:p w14:paraId="20EBFC14" w14:textId="77777777" w:rsidR="00371170" w:rsidRPr="00EB221F" w:rsidRDefault="00371170" w:rsidP="003711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46"/>
        <w:jc w:val="both"/>
        <w:rPr>
          <w:rFonts w:ascii="Arial Narrow" w:hAnsi="Arial Narrow" w:cs="Al Bayan Plain"/>
          <w:color w:val="000000"/>
          <w:sz w:val="22"/>
          <w:szCs w:val="22"/>
          <w:lang w:val="hr-HR" w:eastAsia="fr-FR"/>
        </w:rPr>
      </w:pPr>
      <w:r w:rsidRPr="00EB221F">
        <w:rPr>
          <w:rFonts w:ascii="Arial Narrow" w:hAnsi="Arial Narrow" w:cs="Al Bayan Plain"/>
          <w:color w:val="000000"/>
          <w:sz w:val="22"/>
          <w:szCs w:val="22"/>
          <w:lang w:val="hr-HR" w:eastAsia="fr-FR"/>
        </w:rPr>
        <w:t>Prošla godina je prva u kojoj nije usvojen zakon o završnom računu budžeta - prijedlozi akata koje je prethodna Vlada dostavila ranijem sazivu Skupštine su arhivirani, a među njima se našao i prijedlog zakona o završnom računu budžeta za 2019. godinu. Vlada treba da ponovo uputi prijedlog zakona Skupštini, kako bi isti bio razmotren, uz izvještaj o reviziji koji je DRI podnijela Skupštini sredinom oktobra 2020 godine.</w:t>
      </w:r>
    </w:p>
    <w:p w14:paraId="18325958" w14:textId="77777777" w:rsidR="00371170" w:rsidRPr="00EB221F" w:rsidRDefault="00371170" w:rsidP="003711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46"/>
        <w:jc w:val="both"/>
        <w:rPr>
          <w:rFonts w:ascii="Arial Narrow" w:hAnsi="Arial Narrow" w:cs="Al Bayan Plain"/>
          <w:color w:val="000000"/>
          <w:sz w:val="22"/>
          <w:szCs w:val="22"/>
          <w:lang w:val="hr-HR" w:eastAsia="fr-FR"/>
        </w:rPr>
      </w:pPr>
    </w:p>
    <w:p w14:paraId="5E9A42C8" w14:textId="77777777"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46"/>
        <w:jc w:val="both"/>
        <w:rPr>
          <w:rFonts w:ascii="Arial Narrow" w:eastAsia="Calibri" w:hAnsi="Arial Narrow" w:cs="Al Bayan Plain"/>
          <w:noProof/>
          <w:lang w:val="hr-HR"/>
        </w:rPr>
      </w:pPr>
      <w:r w:rsidRPr="00EB221F">
        <w:rPr>
          <w:rFonts w:ascii="Arial Narrow" w:hAnsi="Arial Narrow" w:cs="Al Bayan Plain"/>
          <w:lang w:val="hr-HR"/>
        </w:rPr>
        <w:t xml:space="preserve">Predlagač: Ministarstvo </w:t>
      </w:r>
      <w:proofErr w:type="spellStart"/>
      <w:r w:rsidRPr="00EB221F">
        <w:rPr>
          <w:rFonts w:ascii="Arial Narrow" w:hAnsi="Arial Narrow" w:cs="Al Bayan Plain"/>
          <w:lang w:val="hr-HR"/>
        </w:rPr>
        <w:t>finansija</w:t>
      </w:r>
      <w:proofErr w:type="spellEnd"/>
      <w:r w:rsidRPr="00EB221F">
        <w:rPr>
          <w:rFonts w:ascii="Arial Narrow" w:hAnsi="Arial Narrow" w:cs="Al Bayan Plain"/>
          <w:lang w:val="hr-HR"/>
        </w:rPr>
        <w:t xml:space="preserve"> i socijalnog staranja</w:t>
      </w:r>
    </w:p>
    <w:p w14:paraId="5F00ED3D" w14:textId="77777777"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46"/>
        <w:jc w:val="both"/>
        <w:rPr>
          <w:rFonts w:ascii="Arial Narrow" w:eastAsia="Calibri" w:hAnsi="Arial Narrow" w:cs="Al Bayan Plain"/>
          <w:noProof/>
          <w:lang w:val="hr-HR"/>
        </w:rPr>
      </w:pPr>
    </w:p>
    <w:p w14:paraId="419A1D4B" w14:textId="77777777"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46"/>
        <w:jc w:val="both"/>
        <w:rPr>
          <w:rFonts w:ascii="Arial Narrow" w:eastAsia="Calibri" w:hAnsi="Arial Narrow" w:cs="Al Bayan Plain"/>
          <w:noProof/>
          <w:lang w:val="hr-HR"/>
        </w:rPr>
      </w:pPr>
    </w:p>
    <w:p w14:paraId="6F344E46" w14:textId="77777777"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46"/>
        <w:jc w:val="both"/>
        <w:rPr>
          <w:rFonts w:ascii="Arial Narrow" w:eastAsia="Calibri" w:hAnsi="Arial Narrow" w:cs="Al Bayan Plain"/>
          <w:b/>
          <w:bCs/>
          <w:noProof/>
          <w:lang w:val="hr-HR"/>
        </w:rPr>
      </w:pPr>
      <w:r w:rsidRPr="00EB221F">
        <w:rPr>
          <w:rFonts w:ascii="Arial Narrow" w:hAnsi="Arial Narrow" w:cs="Al Bayan Plain"/>
          <w:b/>
          <w:bCs/>
          <w:noProof/>
          <w:lang w:val="hr-HR"/>
        </w:rPr>
        <w:t>9. Zakon o izmjenama i dopunama Zakona o zaštitniku imovinsko pravnih interesa</w:t>
      </w:r>
    </w:p>
    <w:p w14:paraId="0B1CEB0E" w14:textId="77777777"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46"/>
        <w:jc w:val="both"/>
        <w:rPr>
          <w:rFonts w:ascii="Arial Narrow" w:eastAsia="Calibri" w:hAnsi="Arial Narrow" w:cs="Al Bayan Plain"/>
          <w:b/>
          <w:bCs/>
          <w:noProof/>
          <w:lang w:val="hr-HR"/>
        </w:rPr>
      </w:pPr>
    </w:p>
    <w:p w14:paraId="0A31FFA3" w14:textId="44ABBA75"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46"/>
        <w:jc w:val="both"/>
        <w:rPr>
          <w:rFonts w:ascii="Arial Narrow" w:eastAsia="Calibri" w:hAnsi="Arial Narrow" w:cs="Al Bayan Plain"/>
          <w:b/>
          <w:bCs/>
          <w:noProof/>
          <w:lang w:val="hr-HR"/>
        </w:rPr>
      </w:pPr>
      <w:r w:rsidRPr="00EB221F">
        <w:rPr>
          <w:rFonts w:ascii="Arial Narrow" w:hAnsi="Arial Narrow" w:cs="Al Bayan Plain"/>
          <w:noProof/>
          <w:lang w:val="hr-HR"/>
        </w:rPr>
        <w:t>Unaprijediti poziciju i ovlas</w:t>
      </w:r>
      <w:r w:rsidRPr="00EB221F">
        <w:rPr>
          <w:rFonts w:ascii="Arial" w:hAnsi="Arial" w:cs="Arial"/>
          <w:noProof/>
          <w:lang w:val="hr-HR"/>
        </w:rPr>
        <w:t>̌</w:t>
      </w:r>
      <w:r w:rsidRPr="00EB221F">
        <w:rPr>
          <w:rFonts w:ascii="Arial Narrow" w:hAnsi="Arial Narrow" w:cs="Al Bayan Plain"/>
          <w:noProof/>
          <w:lang w:val="hr-HR"/>
        </w:rPr>
        <w:t>ćenja Zas</w:t>
      </w:r>
      <w:r w:rsidRPr="00EB221F">
        <w:rPr>
          <w:rFonts w:ascii="Arial" w:hAnsi="Arial" w:cs="Arial"/>
          <w:noProof/>
          <w:lang w:val="hr-HR"/>
        </w:rPr>
        <w:t>̌</w:t>
      </w:r>
      <w:r w:rsidRPr="00EB221F">
        <w:rPr>
          <w:rFonts w:ascii="Arial Narrow" w:hAnsi="Arial Narrow" w:cs="Al Bayan Plain"/>
          <w:noProof/>
          <w:lang w:val="hr-HR"/>
        </w:rPr>
        <w:t>titnika kroz zakonske izmjene kojima treba precizirati uslove postavljenja i razrjes</w:t>
      </w:r>
      <w:r w:rsidRPr="00EB221F">
        <w:rPr>
          <w:rFonts w:ascii="Arial" w:hAnsi="Arial" w:cs="Arial"/>
          <w:noProof/>
          <w:lang w:val="hr-HR"/>
        </w:rPr>
        <w:t>̌</w:t>
      </w:r>
      <w:r w:rsidRPr="00EB221F">
        <w:rPr>
          <w:rFonts w:ascii="Arial Narrow" w:hAnsi="Arial Narrow" w:cs="Al Bayan Plain"/>
          <w:noProof/>
          <w:lang w:val="hr-HR"/>
        </w:rPr>
        <w:t>enja Zas</w:t>
      </w:r>
      <w:r w:rsidRPr="00EB221F">
        <w:rPr>
          <w:rFonts w:ascii="Arial" w:hAnsi="Arial" w:cs="Arial"/>
          <w:noProof/>
          <w:lang w:val="hr-HR"/>
        </w:rPr>
        <w:t>̌</w:t>
      </w:r>
      <w:r w:rsidRPr="00EB221F">
        <w:rPr>
          <w:rFonts w:ascii="Arial Narrow" w:hAnsi="Arial Narrow" w:cs="Al Bayan Plain"/>
          <w:noProof/>
          <w:lang w:val="hr-HR"/>
        </w:rPr>
        <w:t>titnika i zamjenika, na nac</w:t>
      </w:r>
      <w:r w:rsidRPr="00EB221F">
        <w:rPr>
          <w:rFonts w:ascii="Arial" w:hAnsi="Arial" w:cs="Arial"/>
          <w:noProof/>
          <w:lang w:val="hr-HR"/>
        </w:rPr>
        <w:t>̌</w:t>
      </w:r>
      <w:r w:rsidRPr="00EB221F">
        <w:rPr>
          <w:rFonts w:ascii="Arial Narrow" w:hAnsi="Arial Narrow" w:cs="Al Bayan Plain"/>
          <w:noProof/>
          <w:lang w:val="hr-HR"/>
        </w:rPr>
        <w:t>in da nuz</w:t>
      </w:r>
      <w:r w:rsidRPr="00EB221F">
        <w:rPr>
          <w:rFonts w:ascii="Arial" w:hAnsi="Arial" w:cs="Arial"/>
          <w:noProof/>
          <w:lang w:val="hr-HR"/>
        </w:rPr>
        <w:t>̌</w:t>
      </w:r>
      <w:r w:rsidRPr="00EB221F">
        <w:rPr>
          <w:rFonts w:ascii="Arial Narrow" w:hAnsi="Arial Narrow" w:cs="Al Bayan Plain"/>
          <w:noProof/>
          <w:lang w:val="hr-HR"/>
        </w:rPr>
        <w:t>no ukljuc</w:t>
      </w:r>
      <w:r w:rsidRPr="00EB221F">
        <w:rPr>
          <w:rFonts w:ascii="Arial" w:hAnsi="Arial" w:cs="Arial"/>
          <w:noProof/>
          <w:lang w:val="hr-HR"/>
        </w:rPr>
        <w:t>̌</w:t>
      </w:r>
      <w:r w:rsidRPr="00EB221F">
        <w:rPr>
          <w:rFonts w:ascii="Arial Narrow" w:hAnsi="Arial Narrow" w:cs="Al Bayan Plain"/>
          <w:noProof/>
          <w:lang w:val="hr-HR"/>
        </w:rPr>
        <w:t>uju javni konkurs i otvorenu konkurenciju između više kandidata i objektivnu provjeru sposobnosti;  propisati uslove obnove mandata za Zaštitnika i zamjenike; omogućiti Zaštitniku da samoinicijativno daje pravna mišljenja i pokreće postupak ustavnosti i zakonitosti u odnosu na ugovore koji mu se dostavljaju shodno Zakonu o drz</w:t>
      </w:r>
      <w:r w:rsidRPr="00EB221F">
        <w:rPr>
          <w:rFonts w:ascii="Arial" w:hAnsi="Arial" w:cs="Arial"/>
          <w:noProof/>
          <w:lang w:val="hr-HR"/>
        </w:rPr>
        <w:t>̌</w:t>
      </w:r>
      <w:r w:rsidRPr="00EB221F">
        <w:rPr>
          <w:rFonts w:ascii="Arial Narrow" w:hAnsi="Arial Narrow" w:cs="Al Bayan Plain"/>
          <w:noProof/>
          <w:lang w:val="hr-HR"/>
        </w:rPr>
        <w:t>avnoj imovini; uvesti prekrs</w:t>
      </w:r>
      <w:r w:rsidRPr="00EB221F">
        <w:rPr>
          <w:rFonts w:ascii="Arial" w:hAnsi="Arial" w:cs="Arial"/>
          <w:noProof/>
          <w:lang w:val="hr-HR"/>
        </w:rPr>
        <w:t>̌</w:t>
      </w:r>
      <w:r w:rsidRPr="00EB221F">
        <w:rPr>
          <w:rFonts w:ascii="Arial Narrow" w:hAnsi="Arial Narrow" w:cs="Al Bayan Plain"/>
          <w:noProof/>
          <w:lang w:val="hr-HR"/>
        </w:rPr>
        <w:t>ajnu i materijalnu odgovornost drz</w:t>
      </w:r>
      <w:r w:rsidRPr="00EB221F">
        <w:rPr>
          <w:rFonts w:ascii="Arial" w:hAnsi="Arial" w:cs="Arial"/>
          <w:noProof/>
          <w:lang w:val="hr-HR"/>
        </w:rPr>
        <w:t>̌</w:t>
      </w:r>
      <w:r w:rsidRPr="00EB221F">
        <w:rPr>
          <w:rFonts w:ascii="Arial Narrow" w:hAnsi="Arial Narrow" w:cs="Al Bayan Plain"/>
          <w:noProof/>
          <w:lang w:val="hr-HR"/>
        </w:rPr>
        <w:t>avnih organa za nedostavljanje informacija Zas</w:t>
      </w:r>
      <w:r w:rsidRPr="00EB221F">
        <w:rPr>
          <w:rFonts w:ascii="Arial" w:hAnsi="Arial" w:cs="Arial"/>
          <w:noProof/>
          <w:lang w:val="hr-HR"/>
        </w:rPr>
        <w:t>̌</w:t>
      </w:r>
      <w:r w:rsidRPr="00EB221F">
        <w:rPr>
          <w:rFonts w:ascii="Arial Narrow" w:hAnsi="Arial Narrow" w:cs="Al Bayan Plain"/>
          <w:noProof/>
          <w:lang w:val="hr-HR"/>
        </w:rPr>
        <w:t xml:space="preserve">titniku neophodnih za zastupanje u sudskim i vansudskim sporovima. </w:t>
      </w:r>
      <w:r w:rsidRPr="00EB221F">
        <w:rPr>
          <w:rFonts w:ascii="Arial Narrow" w:hAnsi="Arial Narrow" w:cs="Al Bayan Plain"/>
          <w:noProof/>
          <w:lang w:val="hr-HR"/>
        </w:rPr>
        <w:br/>
      </w:r>
      <w:r w:rsidRPr="00EB221F">
        <w:rPr>
          <w:rFonts w:ascii="Arial Narrow" w:hAnsi="Arial Narrow" w:cs="Al Bayan Plain"/>
          <w:noProof/>
          <w:lang w:val="hr-HR"/>
        </w:rPr>
        <w:br/>
        <w:t xml:space="preserve">Predlagač: Ministarstvo finansija i socijalnog staranja </w:t>
      </w:r>
    </w:p>
    <w:p w14:paraId="3B28C0B2" w14:textId="77777777"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46"/>
        <w:jc w:val="both"/>
        <w:rPr>
          <w:rFonts w:ascii="Arial Narrow" w:eastAsia="Calibri" w:hAnsi="Arial Narrow" w:cs="Al Bayan Plain"/>
          <w:noProof/>
          <w:lang w:val="hr-HR"/>
        </w:rPr>
      </w:pPr>
    </w:p>
    <w:p w14:paraId="25753426" w14:textId="77777777"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46"/>
        <w:jc w:val="both"/>
        <w:rPr>
          <w:rFonts w:ascii="Arial Narrow" w:eastAsia="Calibri" w:hAnsi="Arial Narrow" w:cs="Al Bayan Plain"/>
          <w:b/>
          <w:bCs/>
          <w:noProof/>
          <w:lang w:val="hr-HR"/>
        </w:rPr>
      </w:pPr>
      <w:r w:rsidRPr="00EB221F">
        <w:rPr>
          <w:rFonts w:ascii="Arial Narrow" w:hAnsi="Arial Narrow" w:cs="Al Bayan Plain"/>
          <w:b/>
          <w:bCs/>
          <w:noProof/>
          <w:lang w:val="hr-HR"/>
        </w:rPr>
        <w:t>10. Zakon o izmjenama i dopunama Zakona o krivičnom postupku</w:t>
      </w:r>
    </w:p>
    <w:p w14:paraId="1C5E5439" w14:textId="77777777"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46"/>
        <w:jc w:val="both"/>
        <w:rPr>
          <w:rFonts w:ascii="Arial Narrow" w:eastAsia="Calibri" w:hAnsi="Arial Narrow" w:cs="Al Bayan Plain"/>
          <w:noProof/>
          <w:lang w:val="hr-HR"/>
        </w:rPr>
      </w:pPr>
    </w:p>
    <w:p w14:paraId="69D1CDF2" w14:textId="77777777"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46"/>
        <w:jc w:val="both"/>
        <w:rPr>
          <w:rFonts w:ascii="Arial Narrow" w:eastAsia="Calibri" w:hAnsi="Arial Narrow" w:cs="Al Bayan Plain"/>
          <w:noProof/>
          <w:lang w:val="hr-HR"/>
        </w:rPr>
      </w:pPr>
      <w:r w:rsidRPr="00EB221F">
        <w:rPr>
          <w:rFonts w:ascii="Arial Narrow" w:hAnsi="Arial Narrow" w:cs="Al Bayan Plain"/>
          <w:noProof/>
          <w:lang w:val="hr-HR"/>
        </w:rPr>
        <w:t>Izmjene i dopune zakona o krivičnom postupku kojim će se eksplicitno tvrditi obaveza tužilaštva da podnosiocu krivične prijave uz rješenje o odbacivanju krivične prijave dostavi obrazloženje odluke o odbijanju krivične prijave. Iako je takva obaveza dobronamjernim tumačenjem zakona već naznačena, u praksi tužilaštvo odbija da dostavi obrazloženje odbacivanja krivične prijave, i na taj način obesmišljava pravo na podnošenje prigovora na odbačaj. U tom smislu treba predvidjeti da rok za podnošenje prigovora za podnosioca krivične prijave teče od dana prijema obrazloženja odluke o odbijanju krivične prijave, kao i sankciju za odgovorno lice u tužilaštvu za kršenje ove obaveze.</w:t>
      </w:r>
    </w:p>
    <w:p w14:paraId="30D6A271" w14:textId="77777777"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46"/>
        <w:jc w:val="both"/>
        <w:rPr>
          <w:rFonts w:ascii="Arial Narrow" w:eastAsia="Calibri" w:hAnsi="Arial Narrow" w:cs="Al Bayan Plain"/>
          <w:noProof/>
          <w:lang w:val="hr-HR"/>
        </w:rPr>
      </w:pPr>
      <w:r w:rsidRPr="00EB221F">
        <w:rPr>
          <w:rFonts w:ascii="Arial Narrow" w:hAnsi="Arial Narrow" w:cs="Al Bayan Plain"/>
          <w:noProof/>
          <w:lang w:val="hr-HR"/>
        </w:rPr>
        <w:br/>
        <w:t>Predlagač: Ministarstvo pravde, ljudskih i manjinskih prava</w:t>
      </w:r>
    </w:p>
    <w:p w14:paraId="3522A79C" w14:textId="6F7235AD"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46"/>
        <w:jc w:val="both"/>
        <w:rPr>
          <w:rFonts w:ascii="Arial Narrow" w:eastAsia="Calibri" w:hAnsi="Arial Narrow" w:cs="Al Bayan Plain"/>
          <w:noProof/>
          <w:lang w:val="hr-HR"/>
        </w:rPr>
      </w:pPr>
    </w:p>
    <w:p w14:paraId="0B821387" w14:textId="77777777"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46"/>
        <w:jc w:val="both"/>
        <w:rPr>
          <w:rFonts w:ascii="Arial Narrow" w:eastAsia="Calibri" w:hAnsi="Arial Narrow" w:cs="Al Bayan Plain"/>
          <w:noProof/>
          <w:lang w:val="hr-HR"/>
        </w:rPr>
      </w:pPr>
    </w:p>
    <w:p w14:paraId="0D84EE5B" w14:textId="77777777"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46"/>
        <w:jc w:val="both"/>
        <w:rPr>
          <w:rFonts w:ascii="Arial Narrow" w:eastAsia="Calibri" w:hAnsi="Arial Narrow" w:cs="Al Bayan Plain"/>
          <w:b/>
          <w:bCs/>
          <w:noProof/>
          <w:lang w:val="hr-HR"/>
        </w:rPr>
      </w:pPr>
      <w:r w:rsidRPr="00EB221F">
        <w:rPr>
          <w:rFonts w:ascii="Arial Narrow" w:hAnsi="Arial Narrow" w:cs="Al Bayan Plain"/>
          <w:b/>
          <w:bCs/>
          <w:noProof/>
          <w:lang w:val="hr-HR"/>
        </w:rPr>
        <w:t>11. Zakon o izmjenama i dopunama zakona o zaštiti ličnih podataka</w:t>
      </w:r>
    </w:p>
    <w:p w14:paraId="3FB8D500" w14:textId="77777777"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46"/>
        <w:jc w:val="both"/>
        <w:rPr>
          <w:rFonts w:ascii="Arial Narrow" w:eastAsia="Calibri" w:hAnsi="Arial Narrow" w:cs="Al Bayan Plain"/>
          <w:noProof/>
          <w:lang w:val="hr-HR"/>
        </w:rPr>
      </w:pPr>
    </w:p>
    <w:p w14:paraId="30D046D4" w14:textId="77777777"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46"/>
        <w:jc w:val="both"/>
        <w:rPr>
          <w:rFonts w:ascii="Arial Narrow" w:eastAsia="Calibri" w:hAnsi="Arial Narrow" w:cs="Al Bayan Plain"/>
          <w:noProof/>
          <w:lang w:val="hr-HR"/>
        </w:rPr>
      </w:pPr>
      <w:r w:rsidRPr="00EB221F">
        <w:rPr>
          <w:rFonts w:ascii="Arial Narrow" w:hAnsi="Arial Narrow" w:cs="Al Bayan Plain"/>
          <w:noProof/>
          <w:lang w:val="hr-HR"/>
        </w:rPr>
        <w:lastRenderedPageBreak/>
        <w:t xml:space="preserve">Zakon o zaštiti ličnih podataka izmijeniti na način da eksplicitno propisuje pravo pristupa presudama javnim funkcionerima, bez prethodne saglasnosti javnog funkcionera kojem je izrečena presuda. Izmjene i dopune Zakona je neophodno usvojiti kako bi se prevazišla situacija nastala nakon što je Agenija za zaštitu ličnih podataka i pristup informacijama dala mišljenje kojim je ASK dozvolila da ne objavljuje bez saglasnosti javih funkcionera oduke/presude sudova o njihovoj prekršajnoj odgovornosti. Takvom praksom se spriječava individualizacija odgovornosti. Prema praksi Evropskog suda za ljudska prava, javni funkcioneri dužni su da trpe manji stepen zaštite ličnih podataka i privatnosti u odnosu na druge građane. </w:t>
      </w:r>
    </w:p>
    <w:p w14:paraId="413A0716" w14:textId="77777777"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46"/>
        <w:jc w:val="both"/>
        <w:rPr>
          <w:rFonts w:ascii="Arial Narrow" w:eastAsia="Calibri" w:hAnsi="Arial Narrow" w:cs="Al Bayan Plain"/>
          <w:noProof/>
          <w:lang w:val="hr-HR"/>
        </w:rPr>
      </w:pPr>
    </w:p>
    <w:p w14:paraId="6A2EA930" w14:textId="77777777"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46"/>
        <w:jc w:val="both"/>
        <w:rPr>
          <w:rFonts w:ascii="Arial Narrow" w:eastAsia="Calibri" w:hAnsi="Arial Narrow" w:cs="Al Bayan Plain"/>
          <w:noProof/>
          <w:lang w:val="hr-HR"/>
        </w:rPr>
      </w:pPr>
      <w:r w:rsidRPr="00EB221F">
        <w:rPr>
          <w:rFonts w:ascii="Arial Narrow" w:hAnsi="Arial Narrow" w:cs="Al Bayan Plain"/>
          <w:noProof/>
          <w:lang w:val="hr-HR"/>
        </w:rPr>
        <w:t>Predlagač: Ministarstvo unutrašnjih poslova</w:t>
      </w:r>
    </w:p>
    <w:p w14:paraId="1B1D7A3F" w14:textId="1833E841"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46"/>
        <w:jc w:val="both"/>
        <w:rPr>
          <w:rFonts w:ascii="Arial Narrow" w:eastAsia="Calibri" w:hAnsi="Arial Narrow" w:cs="Al Bayan Plain"/>
          <w:noProof/>
          <w:lang w:val="hr-HR"/>
        </w:rPr>
      </w:pPr>
    </w:p>
    <w:p w14:paraId="1A61C0A9" w14:textId="77777777"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46"/>
        <w:jc w:val="both"/>
        <w:rPr>
          <w:rFonts w:ascii="Arial Narrow" w:eastAsia="Calibri" w:hAnsi="Arial Narrow" w:cs="Al Bayan Plain"/>
          <w:noProof/>
          <w:lang w:val="hr-HR"/>
        </w:rPr>
      </w:pPr>
    </w:p>
    <w:p w14:paraId="22FC5921" w14:textId="77777777"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46"/>
        <w:jc w:val="both"/>
        <w:rPr>
          <w:rFonts w:ascii="Arial Narrow" w:eastAsia="Calibri" w:hAnsi="Arial Narrow" w:cs="Al Bayan Plain"/>
          <w:noProof/>
          <w:lang w:val="hr-HR"/>
        </w:rPr>
      </w:pPr>
      <w:r w:rsidRPr="00EB221F">
        <w:rPr>
          <w:rFonts w:ascii="Arial Narrow" w:hAnsi="Arial Narrow" w:cs="Al Bayan Plain"/>
          <w:b/>
          <w:bCs/>
          <w:noProof/>
          <w:lang w:val="hr-HR"/>
        </w:rPr>
        <w:t>12. Zakon o izmjenama i dopunama Zakona o specijalnom državnom tužilaštvu</w:t>
      </w:r>
    </w:p>
    <w:p w14:paraId="3C9470A0" w14:textId="77777777"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46"/>
        <w:jc w:val="both"/>
        <w:rPr>
          <w:rFonts w:ascii="Arial Narrow" w:eastAsia="Calibri" w:hAnsi="Arial Narrow" w:cs="Al Bayan Plain"/>
          <w:noProof/>
          <w:lang w:val="hr-HR"/>
        </w:rPr>
      </w:pPr>
    </w:p>
    <w:p w14:paraId="6F69A3BE" w14:textId="45F3FF42"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46"/>
        <w:jc w:val="both"/>
        <w:rPr>
          <w:rFonts w:ascii="Arial Narrow" w:eastAsia="Calibri" w:hAnsi="Arial Narrow" w:cs="Al Bayan Plain"/>
          <w:noProof/>
          <w:lang w:val="hr-HR"/>
        </w:rPr>
      </w:pPr>
      <w:r w:rsidRPr="00EB221F">
        <w:rPr>
          <w:rFonts w:ascii="Arial Narrow" w:hAnsi="Arial Narrow" w:cs="Al Bayan Plain"/>
          <w:noProof/>
          <w:lang w:val="hr-HR"/>
        </w:rPr>
        <w:t>Zakon o izmjenama i dopunama Zakona o specijalnom državnom tužilaštvu, kojim će se dopuniti u dijelu propisivanja sadržaja polugodišnjeg I godišnjeg izvještaja o radu Specijalog državnog tužilaštva, kao I propisivanja načina I postupka proaktivnog objavljivanja optužnica. Dopunama Zakona unaprijediti polugodišnji i godišnji izvještaj o radu SDT − posebnim dijelom, koji će sadržati pregled rada i rezultata svih specijalnih tužilaca, kao i informacije o odbačenim krivičnim prijavama u odnosu na podnosioce. Izvjes</w:t>
      </w:r>
      <w:r w:rsidRPr="00EB221F">
        <w:rPr>
          <w:rFonts w:ascii="Arial" w:hAnsi="Arial" w:cs="Arial"/>
          <w:noProof/>
          <w:lang w:val="hr-HR"/>
        </w:rPr>
        <w:t>̌</w:t>
      </w:r>
      <w:r w:rsidRPr="00EB221F">
        <w:rPr>
          <w:rFonts w:ascii="Arial Narrow" w:hAnsi="Arial Narrow" w:cs="Al Bayan Plain"/>
          <w:noProof/>
          <w:lang w:val="hr-HR"/>
        </w:rPr>
        <w:t>tavanje tako</w:t>
      </w:r>
      <w:r w:rsidRPr="00EB221F">
        <w:rPr>
          <w:rFonts w:ascii="Arial" w:hAnsi="Arial" w:cs="Arial"/>
          <w:noProof/>
          <w:lang w:val="hr-HR"/>
        </w:rPr>
        <w:t>đ</w:t>
      </w:r>
      <w:r w:rsidRPr="00EB221F">
        <w:rPr>
          <w:rFonts w:ascii="Arial Narrow" w:hAnsi="Arial Narrow" w:cs="Al Bayan Plain"/>
          <w:noProof/>
          <w:lang w:val="hr-HR"/>
        </w:rPr>
        <w:t>e unaprijediti informacijama o sloz</w:t>
      </w:r>
      <w:r w:rsidRPr="00EB221F">
        <w:rPr>
          <w:rFonts w:ascii="Arial" w:hAnsi="Arial" w:cs="Arial"/>
          <w:noProof/>
          <w:lang w:val="hr-HR"/>
        </w:rPr>
        <w:t>̌</w:t>
      </w:r>
      <w:r w:rsidRPr="00EB221F">
        <w:rPr>
          <w:rFonts w:ascii="Arial Narrow" w:hAnsi="Arial Narrow" w:cs="Al Bayan Plain"/>
          <w:noProof/>
          <w:lang w:val="hr-HR"/>
        </w:rPr>
        <w:t xml:space="preserve">enosti predmeta. </w:t>
      </w:r>
    </w:p>
    <w:p w14:paraId="1D9ABDB0" w14:textId="77777777" w:rsidR="00EB221F"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spacing w:before="100" w:after="100"/>
        <w:ind w:right="-46"/>
        <w:jc w:val="both"/>
        <w:rPr>
          <w:rFonts w:ascii="Arial Narrow" w:hAnsi="Arial Narrow" w:cs="Al Bayan Plain"/>
          <w:noProof/>
          <w:lang w:val="hr-HR"/>
        </w:rPr>
      </w:pPr>
      <w:r w:rsidRPr="00EB221F">
        <w:rPr>
          <w:rFonts w:ascii="Arial Narrow" w:hAnsi="Arial Narrow" w:cs="Al Bayan Plain"/>
          <w:noProof/>
          <w:lang w:val="hr-HR"/>
        </w:rPr>
        <w:t>Predlagač: Ministarstvo pravde</w:t>
      </w:r>
    </w:p>
    <w:p w14:paraId="46E8407F" w14:textId="56FF1550" w:rsidR="00EB221F" w:rsidRPr="00EB221F" w:rsidRDefault="00EB221F"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spacing w:before="100" w:after="100"/>
        <w:ind w:right="-46"/>
        <w:jc w:val="both"/>
        <w:rPr>
          <w:rFonts w:ascii="Arial Narrow" w:hAnsi="Arial Narrow" w:cs="Al Bayan Plain"/>
          <w:noProof/>
          <w:lang w:val="hr-HR"/>
        </w:rPr>
      </w:pPr>
    </w:p>
    <w:p w14:paraId="40DF8277" w14:textId="546BCEC5"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spacing w:before="100" w:after="100"/>
        <w:ind w:right="-46"/>
        <w:jc w:val="both"/>
        <w:rPr>
          <w:rFonts w:ascii="Arial Narrow" w:hAnsi="Arial Narrow" w:cs="Al Bayan Plain"/>
          <w:noProof/>
          <w:lang w:val="hr-HR"/>
        </w:rPr>
      </w:pPr>
      <w:r w:rsidRPr="00EB221F">
        <w:rPr>
          <w:rFonts w:ascii="Arial Narrow" w:hAnsi="Arial Narrow" w:cs="Al Bayan Plain"/>
          <w:b/>
          <w:bCs/>
          <w:noProof/>
          <w:lang w:val="hr-HR"/>
        </w:rPr>
        <w:t>13. Izvještaj o sprovođenju Preporuka državnim organima na osnovu ocjena iz Radnog dokumenta Evropske komisije o stanju u poglavlju 23 ( ”non paper”)</w:t>
      </w:r>
    </w:p>
    <w:p w14:paraId="752A37C0" w14:textId="77777777"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spacing w:before="100" w:after="100"/>
        <w:ind w:right="-46"/>
        <w:jc w:val="both"/>
        <w:rPr>
          <w:rFonts w:ascii="Arial Narrow" w:eastAsia="Calibri" w:hAnsi="Arial Narrow" w:cs="Al Bayan Plain"/>
          <w:noProof/>
          <w:lang w:val="hr-HR"/>
        </w:rPr>
      </w:pPr>
    </w:p>
    <w:p w14:paraId="5EA68A92" w14:textId="599CF32F"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spacing w:before="100" w:after="100"/>
        <w:ind w:right="-46"/>
        <w:jc w:val="both"/>
        <w:rPr>
          <w:rFonts w:ascii="Arial Narrow" w:eastAsia="Calibri" w:hAnsi="Arial Narrow" w:cs="Al Bayan Plain"/>
          <w:noProof/>
          <w:lang w:val="hr-HR"/>
        </w:rPr>
      </w:pPr>
      <w:r w:rsidRPr="00EB221F">
        <w:rPr>
          <w:rFonts w:ascii="Arial Narrow" w:hAnsi="Arial Narrow" w:cs="Al Bayan Plain"/>
          <w:noProof/>
          <w:lang w:val="hr-HR"/>
        </w:rPr>
        <w:t>U cilju vjerodostojnog praćenja realizacije preporuka Evropske komisije, potrebno je usvojiti šestomjesečni i godišnji izvještaj o sprovođenju Preporuka državnim organima na osnovu ocjena iz Radnog dokumenta Evropske komisije o stanju u poglavlju 23 koje je usvojila Radna grupa za poglavlje 23 i razmotrio Kolegijum za pregovore.</w:t>
      </w:r>
    </w:p>
    <w:p w14:paraId="361EFAC7" w14:textId="77777777"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46"/>
        <w:jc w:val="both"/>
        <w:rPr>
          <w:rFonts w:ascii="Arial Narrow" w:hAnsi="Arial Narrow" w:cs="Al Bayan Plain"/>
          <w:noProof/>
          <w:lang w:val="hr-HR"/>
        </w:rPr>
      </w:pPr>
    </w:p>
    <w:p w14:paraId="5D8761CF" w14:textId="77777777"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46"/>
        <w:jc w:val="both"/>
        <w:rPr>
          <w:rFonts w:ascii="Arial Narrow" w:eastAsia="Calibri" w:hAnsi="Arial Narrow" w:cs="Al Bayan Plain"/>
          <w:noProof/>
          <w:lang w:val="hr-HR"/>
        </w:rPr>
      </w:pPr>
      <w:r w:rsidRPr="00EB221F">
        <w:rPr>
          <w:rFonts w:ascii="Arial Narrow" w:hAnsi="Arial Narrow" w:cs="Al Bayan Plain"/>
          <w:noProof/>
          <w:lang w:val="hr-HR"/>
        </w:rPr>
        <w:t>Predlagač: Ministarstvo pravde, ljudskih i manjinskih prava</w:t>
      </w:r>
    </w:p>
    <w:p w14:paraId="2DC020E9" w14:textId="45466748"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46"/>
        <w:jc w:val="both"/>
        <w:rPr>
          <w:rFonts w:ascii="Arial Narrow" w:eastAsia="Calibri" w:hAnsi="Arial Narrow" w:cs="Al Bayan Plain"/>
          <w:noProof/>
          <w:lang w:val="hr-HR"/>
        </w:rPr>
      </w:pPr>
    </w:p>
    <w:p w14:paraId="234C5AB5" w14:textId="77777777"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46"/>
        <w:jc w:val="both"/>
        <w:rPr>
          <w:rFonts w:ascii="Arial Narrow" w:eastAsia="Calibri" w:hAnsi="Arial Narrow" w:cs="Al Bayan Plain"/>
          <w:noProof/>
          <w:lang w:val="hr-HR"/>
        </w:rPr>
      </w:pPr>
    </w:p>
    <w:p w14:paraId="3EBB54E6" w14:textId="77777777"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46"/>
        <w:jc w:val="both"/>
        <w:rPr>
          <w:rFonts w:ascii="Arial Narrow" w:eastAsia="Calibri" w:hAnsi="Arial Narrow" w:cs="Al Bayan Plain"/>
          <w:b/>
          <w:bCs/>
          <w:noProof/>
          <w:lang w:val="hr-HR"/>
        </w:rPr>
      </w:pPr>
      <w:r w:rsidRPr="00EB221F">
        <w:rPr>
          <w:rFonts w:ascii="Arial Narrow" w:hAnsi="Arial Narrow" w:cs="Al Bayan Plain"/>
          <w:b/>
          <w:bCs/>
          <w:noProof/>
          <w:lang w:val="hr-HR"/>
        </w:rPr>
        <w:t>14. Izvještaj o javnim nabavkama za 2020.godinu</w:t>
      </w:r>
    </w:p>
    <w:p w14:paraId="33B4D59F" w14:textId="77777777"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46"/>
        <w:jc w:val="both"/>
        <w:rPr>
          <w:rFonts w:ascii="Arial Narrow" w:eastAsia="Calibri" w:hAnsi="Arial Narrow" w:cs="Al Bayan Plain"/>
          <w:noProof/>
          <w:lang w:val="hr-HR"/>
        </w:rPr>
      </w:pPr>
    </w:p>
    <w:p w14:paraId="3B73F4FA" w14:textId="77777777"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46"/>
        <w:jc w:val="both"/>
        <w:rPr>
          <w:rFonts w:ascii="Arial Narrow" w:eastAsia="Calibri" w:hAnsi="Arial Narrow" w:cs="Al Bayan Plain"/>
          <w:noProof/>
          <w:lang w:val="hr-HR"/>
        </w:rPr>
      </w:pPr>
      <w:r w:rsidRPr="00EB221F">
        <w:rPr>
          <w:rFonts w:ascii="Arial Narrow" w:hAnsi="Arial Narrow" w:cs="Al Bayan Plain"/>
          <w:noProof/>
          <w:lang w:val="hr-HR"/>
        </w:rPr>
        <w:t>Ministarstvo finansija da pripremi godišnji izvjestaj o javnim nabavkama (kao poseban izvještaj), a ne kao integralni dio izvještaja o radu ministarstva, prema strukturi dosadašnjeg izvještaja koji je pripremala Uprava za javne nabavke, a dopunjen sljedećim kategorijama podataka:</w:t>
      </w:r>
    </w:p>
    <w:p w14:paraId="6A89E7D8" w14:textId="77777777"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46"/>
        <w:jc w:val="both"/>
        <w:rPr>
          <w:rFonts w:ascii="Arial Narrow" w:hAnsi="Arial Narrow" w:cs="Al Bayan Plain"/>
          <w:noProof/>
          <w:lang w:val="hr-HR"/>
        </w:rPr>
      </w:pPr>
    </w:p>
    <w:p w14:paraId="47903F2E" w14:textId="77777777" w:rsidR="00371170" w:rsidRPr="00EB221F" w:rsidRDefault="00371170" w:rsidP="00371170">
      <w:pPr>
        <w:pStyle w:val="Pardfaut"/>
        <w:numPr>
          <w:ilvl w:val="0"/>
          <w:numId w:val="5"/>
        </w:numPr>
        <w:tabs>
          <w:tab w:val="left" w:pos="9072"/>
        </w:tabs>
        <w:ind w:right="-46"/>
        <w:jc w:val="both"/>
        <w:rPr>
          <w:rFonts w:ascii="Arial Narrow" w:hAnsi="Arial Narrow" w:cs="Al Bayan Plain"/>
          <w:noProof/>
          <w:lang w:val="hr-HR"/>
        </w:rPr>
      </w:pPr>
      <w:r w:rsidRPr="00EB221F">
        <w:rPr>
          <w:rFonts w:ascii="Arial Narrow" w:hAnsi="Arial Narrow" w:cs="Al Bayan Plain"/>
          <w:noProof/>
          <w:lang w:val="hr-HR"/>
        </w:rPr>
        <w:t>ukupan broj i spisak svih naručilaca kod kojih postoje odstupanja u iznosima planiranog i izvršenog budžeta sa izraženim planiranim budžetom, ostvarenim budžetom i razlikom, po naručiocima;</w:t>
      </w:r>
    </w:p>
    <w:p w14:paraId="03D4AF44" w14:textId="77777777" w:rsidR="00371170" w:rsidRPr="00EB221F" w:rsidRDefault="00371170" w:rsidP="00371170">
      <w:pPr>
        <w:pStyle w:val="Pardfaut"/>
        <w:numPr>
          <w:ilvl w:val="0"/>
          <w:numId w:val="5"/>
        </w:numPr>
        <w:tabs>
          <w:tab w:val="left" w:pos="9072"/>
        </w:tabs>
        <w:ind w:right="-46"/>
        <w:jc w:val="both"/>
        <w:rPr>
          <w:rFonts w:ascii="Arial Narrow" w:hAnsi="Arial Narrow" w:cs="Al Bayan Plain"/>
          <w:noProof/>
          <w:lang w:val="hr-HR"/>
        </w:rPr>
      </w:pPr>
      <w:r w:rsidRPr="00EB221F">
        <w:rPr>
          <w:rFonts w:ascii="Arial Narrow" w:hAnsi="Arial Narrow" w:cs="Al Bayan Plain"/>
          <w:noProof/>
          <w:lang w:val="hr-HR"/>
        </w:rPr>
        <w:t>ukupan broj naručilaca koji su mijenjali planove javnih nabavki, te naručioce sa najvećim brojem izmjena sa naznačenim brojem izmjena koje su usvojili na osnovni Plan javnih nabavki;</w:t>
      </w:r>
    </w:p>
    <w:p w14:paraId="1154783B" w14:textId="77777777" w:rsidR="00371170" w:rsidRPr="00EB221F" w:rsidRDefault="00371170" w:rsidP="00371170">
      <w:pPr>
        <w:pStyle w:val="Pardfaut"/>
        <w:numPr>
          <w:ilvl w:val="0"/>
          <w:numId w:val="5"/>
        </w:numPr>
        <w:tabs>
          <w:tab w:val="left" w:pos="9072"/>
        </w:tabs>
        <w:ind w:right="-46"/>
        <w:jc w:val="both"/>
        <w:rPr>
          <w:rFonts w:ascii="Arial Narrow" w:hAnsi="Arial Narrow" w:cs="Al Bayan Plain"/>
          <w:noProof/>
          <w:lang w:val="hr-HR"/>
        </w:rPr>
      </w:pPr>
      <w:r w:rsidRPr="00EB221F">
        <w:rPr>
          <w:rFonts w:ascii="Arial Narrow" w:hAnsi="Arial Narrow" w:cs="Al Bayan Plain"/>
          <w:noProof/>
          <w:lang w:val="hr-HR"/>
        </w:rPr>
        <w:t>ukupan broj tendera na koje se prijavi samo jedan ponuđač, razvrstano po naručiocima i predmetu nabavke;</w:t>
      </w:r>
    </w:p>
    <w:p w14:paraId="70952F92" w14:textId="77777777" w:rsidR="00371170" w:rsidRPr="00EB221F" w:rsidRDefault="00371170" w:rsidP="00371170">
      <w:pPr>
        <w:pStyle w:val="Pardfaut"/>
        <w:numPr>
          <w:ilvl w:val="0"/>
          <w:numId w:val="5"/>
        </w:numPr>
        <w:tabs>
          <w:tab w:val="left" w:pos="9072"/>
        </w:tabs>
        <w:ind w:right="-46"/>
        <w:jc w:val="both"/>
        <w:rPr>
          <w:rFonts w:ascii="Arial Narrow" w:hAnsi="Arial Narrow" w:cs="Al Bayan Plain"/>
          <w:noProof/>
          <w:lang w:val="hr-HR"/>
        </w:rPr>
      </w:pPr>
      <w:r w:rsidRPr="00EB221F">
        <w:rPr>
          <w:rFonts w:ascii="Arial Narrow" w:hAnsi="Arial Narrow" w:cs="Al Bayan Plain"/>
          <w:noProof/>
          <w:lang w:val="hr-HR"/>
        </w:rPr>
        <w:t>ukupan broj tendera sa više ponuda od kojih su sve, osim jedne, isključene kao nepravilne;</w:t>
      </w:r>
    </w:p>
    <w:p w14:paraId="264EE076" w14:textId="77777777" w:rsidR="00371170" w:rsidRPr="00EB221F" w:rsidRDefault="00371170" w:rsidP="00371170">
      <w:pPr>
        <w:pStyle w:val="Pardfaut"/>
        <w:numPr>
          <w:ilvl w:val="0"/>
          <w:numId w:val="5"/>
        </w:numPr>
        <w:tabs>
          <w:tab w:val="left" w:pos="9072"/>
        </w:tabs>
        <w:ind w:right="-46"/>
        <w:jc w:val="both"/>
        <w:rPr>
          <w:rFonts w:ascii="Arial Narrow" w:hAnsi="Arial Narrow" w:cs="Al Bayan Plain"/>
          <w:noProof/>
          <w:lang w:val="hr-HR"/>
        </w:rPr>
      </w:pPr>
      <w:r w:rsidRPr="00EB221F">
        <w:rPr>
          <w:rFonts w:ascii="Arial Narrow" w:hAnsi="Arial Narrow" w:cs="Al Bayan Plain"/>
          <w:noProof/>
          <w:lang w:val="hr-HR"/>
        </w:rPr>
        <w:t>Ukupan iznos planiranog i izvršenog budžeta za javne nabavke na nivou svih naučilaca/obveznika primjene Zakona o javnim nabavkama, kao i podatke o ukupnoj razlici između planiranog i izvršenog budžeta za javne nabavke na nivou svih naručilaca;</w:t>
      </w:r>
    </w:p>
    <w:p w14:paraId="3B05E26A" w14:textId="77777777" w:rsidR="00371170" w:rsidRPr="00EB221F" w:rsidRDefault="00371170" w:rsidP="00371170">
      <w:pPr>
        <w:pStyle w:val="Pardfaut"/>
        <w:numPr>
          <w:ilvl w:val="0"/>
          <w:numId w:val="5"/>
        </w:numPr>
        <w:tabs>
          <w:tab w:val="left" w:pos="9072"/>
        </w:tabs>
        <w:ind w:right="-46"/>
        <w:jc w:val="both"/>
        <w:rPr>
          <w:rFonts w:ascii="Arial Narrow" w:hAnsi="Arial Narrow" w:cs="Al Bayan Plain"/>
          <w:noProof/>
          <w:lang w:val="hr-HR"/>
        </w:rPr>
      </w:pPr>
      <w:r w:rsidRPr="00EB221F">
        <w:rPr>
          <w:rFonts w:ascii="Arial Narrow" w:hAnsi="Arial Narrow" w:cs="Al Bayan Plain"/>
          <w:noProof/>
          <w:lang w:val="hr-HR"/>
        </w:rPr>
        <w:t>posebni djelovi izvještaji o javnim nabavkama u oblasti zdravstva, obrazovanja i lokalnih samouprava (ovi izvještaji su ranije, do 2018. godine, postojali u godišnjim Izvještajima o javnim nabavkama)</w:t>
      </w:r>
    </w:p>
    <w:p w14:paraId="6BCBC449" w14:textId="77777777" w:rsidR="00371170" w:rsidRPr="00EB221F" w:rsidRDefault="00371170" w:rsidP="00371170">
      <w:pPr>
        <w:pStyle w:val="Pardfaut"/>
        <w:numPr>
          <w:ilvl w:val="0"/>
          <w:numId w:val="5"/>
        </w:numPr>
        <w:tabs>
          <w:tab w:val="left" w:pos="9072"/>
        </w:tabs>
        <w:ind w:right="-46"/>
        <w:jc w:val="both"/>
        <w:rPr>
          <w:rFonts w:ascii="Arial Narrow" w:hAnsi="Arial Narrow" w:cs="Al Bayan Plain"/>
          <w:noProof/>
          <w:lang w:val="hr-HR"/>
        </w:rPr>
      </w:pPr>
      <w:r w:rsidRPr="00EB221F">
        <w:rPr>
          <w:rFonts w:ascii="Arial Narrow" w:hAnsi="Arial Narrow" w:cs="Al Bayan Plain"/>
          <w:noProof/>
          <w:lang w:val="hr-HR"/>
        </w:rPr>
        <w:t xml:space="preserve">poseban dio izvještaja o nabavkama javnih radova po ugledu na posebne izvještaje koje je raniji izvještaj UJN sadržao za oblast lokalne samouprave, oblast zdravstva i obrazovanja; </w:t>
      </w:r>
    </w:p>
    <w:p w14:paraId="0336252D" w14:textId="77777777" w:rsidR="00371170" w:rsidRPr="00EB221F" w:rsidRDefault="00371170" w:rsidP="00371170">
      <w:pPr>
        <w:pStyle w:val="Pardfaut"/>
        <w:numPr>
          <w:ilvl w:val="0"/>
          <w:numId w:val="5"/>
        </w:numPr>
        <w:tabs>
          <w:tab w:val="left" w:pos="9072"/>
        </w:tabs>
        <w:ind w:right="-46"/>
        <w:jc w:val="both"/>
        <w:rPr>
          <w:rFonts w:ascii="Arial Narrow" w:hAnsi="Arial Narrow" w:cs="Al Bayan Plain"/>
          <w:noProof/>
          <w:lang w:val="hr-HR"/>
        </w:rPr>
      </w:pPr>
      <w:r w:rsidRPr="00EB221F">
        <w:rPr>
          <w:rFonts w:ascii="Arial Narrow" w:hAnsi="Arial Narrow" w:cs="Al Bayan Plain"/>
          <w:noProof/>
          <w:lang w:val="hr-HR"/>
        </w:rPr>
        <w:lastRenderedPageBreak/>
        <w:t>detaljne podatke o prosječnom broju validnih ponuda po tenderu u pojedinim oblastima (zdravstvo, lokalna samouprava, energetski sektor, radovi, i dr.)</w:t>
      </w:r>
    </w:p>
    <w:p w14:paraId="4F3CDE2D" w14:textId="77777777" w:rsidR="00371170" w:rsidRPr="00EB221F" w:rsidRDefault="00371170" w:rsidP="00371170">
      <w:pPr>
        <w:pStyle w:val="Pardfaut"/>
        <w:numPr>
          <w:ilvl w:val="0"/>
          <w:numId w:val="5"/>
        </w:numPr>
        <w:tabs>
          <w:tab w:val="left" w:pos="9072"/>
        </w:tabs>
        <w:ind w:right="-46"/>
        <w:jc w:val="both"/>
        <w:rPr>
          <w:rFonts w:ascii="Arial Narrow" w:hAnsi="Arial Narrow" w:cs="Al Bayan Plain"/>
          <w:noProof/>
          <w:lang w:val="hr-HR"/>
        </w:rPr>
      </w:pPr>
      <w:r w:rsidRPr="00EB221F">
        <w:rPr>
          <w:rFonts w:ascii="Arial Narrow" w:hAnsi="Arial Narrow" w:cs="Al Bayan Plain"/>
          <w:noProof/>
          <w:lang w:val="hr-HR"/>
        </w:rPr>
        <w:t xml:space="preserve">spisak ponuđača koji najviše prihoduju od javnih nabavki godišnje (ova informacija je takođe postojala u godišnjim Izvještajima o javnim nabavkama do 2018. godine). </w:t>
      </w:r>
    </w:p>
    <w:p w14:paraId="6D245258" w14:textId="77777777"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46"/>
        <w:jc w:val="both"/>
        <w:rPr>
          <w:rFonts w:ascii="Arial Narrow" w:eastAsia="Calibri" w:hAnsi="Arial Narrow" w:cs="Al Bayan Plain"/>
          <w:noProof/>
          <w:lang w:val="hr-HR"/>
        </w:rPr>
      </w:pPr>
    </w:p>
    <w:p w14:paraId="2577DD53" w14:textId="77777777"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46"/>
        <w:jc w:val="both"/>
        <w:rPr>
          <w:rFonts w:ascii="Arial Narrow" w:hAnsi="Arial Narrow" w:cs="Al Bayan Plain"/>
          <w:noProof/>
          <w:lang w:val="hr-HR"/>
        </w:rPr>
      </w:pPr>
      <w:r w:rsidRPr="00EB221F">
        <w:rPr>
          <w:rFonts w:ascii="Arial Narrow" w:hAnsi="Arial Narrow" w:cs="Al Bayan Plain"/>
          <w:noProof/>
          <w:lang w:val="hr-HR"/>
        </w:rPr>
        <w:t>Nosilac aktivnosti: Ministarstvo finansija i socijalnog staranja</w:t>
      </w:r>
    </w:p>
    <w:p w14:paraId="02728D9A" w14:textId="43408ED2"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46"/>
        <w:jc w:val="both"/>
        <w:rPr>
          <w:rFonts w:ascii="Arial Narrow" w:hAnsi="Arial Narrow" w:cs="Al Bayan Plain"/>
          <w:noProof/>
          <w:lang w:val="hr-HR"/>
        </w:rPr>
      </w:pPr>
    </w:p>
    <w:p w14:paraId="1EB3E98E" w14:textId="77777777"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46"/>
        <w:jc w:val="both"/>
        <w:rPr>
          <w:rFonts w:ascii="Arial Narrow" w:hAnsi="Arial Narrow" w:cs="Al Bayan Plain"/>
          <w:noProof/>
          <w:lang w:val="hr-HR"/>
        </w:rPr>
      </w:pPr>
    </w:p>
    <w:p w14:paraId="7FAEF541" w14:textId="77777777"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46"/>
        <w:jc w:val="both"/>
        <w:rPr>
          <w:rFonts w:ascii="Arial Narrow" w:hAnsi="Arial Narrow" w:cs="Al Bayan Plain"/>
          <w:b/>
          <w:bCs/>
          <w:noProof/>
          <w:lang w:val="hr-HR"/>
        </w:rPr>
      </w:pPr>
      <w:r w:rsidRPr="00EB221F">
        <w:rPr>
          <w:rFonts w:ascii="Arial Narrow" w:hAnsi="Arial Narrow" w:cs="Al Bayan Plain"/>
          <w:b/>
          <w:bCs/>
          <w:noProof/>
          <w:lang w:val="hr-HR"/>
        </w:rPr>
        <w:t>15. Izmjene i dopune Vladine Uredbe o listi vojne opreme i proizvoda, postupku i načinu sprovođenja javnih nabavki u oblasti odbrane i bezbjednosti</w:t>
      </w:r>
    </w:p>
    <w:p w14:paraId="7603B42D" w14:textId="77777777"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46"/>
        <w:jc w:val="both"/>
        <w:rPr>
          <w:rFonts w:ascii="Arial Narrow" w:eastAsia="Calibri" w:hAnsi="Arial Narrow" w:cs="Al Bayan Plain"/>
          <w:noProof/>
          <w:lang w:val="hr-HR"/>
        </w:rPr>
      </w:pPr>
    </w:p>
    <w:p w14:paraId="072412F8" w14:textId="77777777" w:rsidR="00371170" w:rsidRPr="00EB221F" w:rsidRDefault="00371170" w:rsidP="00371170">
      <w:pPr>
        <w:tabs>
          <w:tab w:val="left" w:pos="9072"/>
        </w:tabs>
        <w:ind w:right="-46"/>
        <w:jc w:val="both"/>
        <w:rPr>
          <w:rFonts w:ascii="Arial Narrow" w:hAnsi="Arial Narrow" w:cs="Al Bayan Plain"/>
          <w:sz w:val="22"/>
          <w:szCs w:val="22"/>
          <w:lang w:val="hr-HR"/>
        </w:rPr>
      </w:pPr>
      <w:r w:rsidRPr="00EB221F">
        <w:rPr>
          <w:rFonts w:ascii="Arial Narrow" w:hAnsi="Arial Narrow" w:cs="Al Bayan Plain"/>
          <w:sz w:val="22"/>
          <w:szCs w:val="22"/>
          <w:lang w:val="hr-HR"/>
        </w:rPr>
        <w:t>Novi Zakon o javnim nabavkama (</w:t>
      </w:r>
      <w:proofErr w:type="spellStart"/>
      <w:r w:rsidRPr="00EB221F">
        <w:rPr>
          <w:rFonts w:ascii="Arial Narrow" w:hAnsi="Arial Narrow" w:cs="Al Bayan Plain"/>
          <w:sz w:val="22"/>
          <w:szCs w:val="22"/>
          <w:lang w:val="hr-HR"/>
        </w:rPr>
        <w:t>ZoJN</w:t>
      </w:r>
      <w:proofErr w:type="spellEnd"/>
      <w:r w:rsidRPr="00EB221F">
        <w:rPr>
          <w:rFonts w:ascii="Arial Narrow" w:hAnsi="Arial Narrow" w:cs="Al Bayan Plain"/>
          <w:sz w:val="22"/>
          <w:szCs w:val="22"/>
          <w:lang w:val="hr-HR"/>
        </w:rPr>
        <w:t xml:space="preserve">) i Vladina Uredba riješili su samo manji dio problema nabavki u oblasti bezbjednosti i odbrane, naročito u pogledu </w:t>
      </w:r>
      <w:proofErr w:type="spellStart"/>
      <w:r w:rsidRPr="00EB221F">
        <w:rPr>
          <w:rFonts w:ascii="Arial Narrow" w:hAnsi="Arial Narrow" w:cs="Al Bayan Plain"/>
          <w:sz w:val="22"/>
          <w:szCs w:val="22"/>
          <w:lang w:val="hr-HR"/>
        </w:rPr>
        <w:t>definisanja</w:t>
      </w:r>
      <w:proofErr w:type="spellEnd"/>
      <w:r w:rsidRPr="00EB221F">
        <w:rPr>
          <w:rFonts w:ascii="Arial Narrow" w:hAnsi="Arial Narrow" w:cs="Al Bayan Plain"/>
          <w:sz w:val="22"/>
          <w:szCs w:val="22"/>
          <w:lang w:val="hr-HR"/>
        </w:rPr>
        <w:t xml:space="preserve"> predmeta nabavki, liste vojne opreme i proizvoda koji čine predmet </w:t>
      </w:r>
      <w:proofErr w:type="spellStart"/>
      <w:r w:rsidRPr="00EB221F">
        <w:rPr>
          <w:rFonts w:ascii="Arial Narrow" w:hAnsi="Arial Narrow" w:cs="Al Bayan Plain"/>
          <w:sz w:val="22"/>
          <w:szCs w:val="22"/>
          <w:lang w:val="hr-HR"/>
        </w:rPr>
        <w:t>bezbjednosne</w:t>
      </w:r>
      <w:proofErr w:type="spellEnd"/>
      <w:r w:rsidRPr="00EB221F">
        <w:rPr>
          <w:rFonts w:ascii="Arial Narrow" w:hAnsi="Arial Narrow" w:cs="Al Bayan Plain"/>
          <w:sz w:val="22"/>
          <w:szCs w:val="22"/>
          <w:lang w:val="hr-HR"/>
        </w:rPr>
        <w:t xml:space="preserve"> nabavke. Međutim, posebne </w:t>
      </w:r>
      <w:proofErr w:type="spellStart"/>
      <w:r w:rsidRPr="00EB221F">
        <w:rPr>
          <w:rFonts w:ascii="Arial Narrow" w:hAnsi="Arial Narrow" w:cs="Al Bayan Plain"/>
          <w:sz w:val="22"/>
          <w:szCs w:val="22"/>
          <w:lang w:val="hr-HR"/>
        </w:rPr>
        <w:t>bezbjednosne</w:t>
      </w:r>
      <w:proofErr w:type="spellEnd"/>
      <w:r w:rsidRPr="00EB221F">
        <w:rPr>
          <w:rFonts w:ascii="Arial Narrow" w:hAnsi="Arial Narrow" w:cs="Al Bayan Plain"/>
          <w:sz w:val="22"/>
          <w:szCs w:val="22"/>
          <w:lang w:val="hr-HR"/>
        </w:rPr>
        <w:t xml:space="preserve"> nabavke, uključujući i one koje sprovodi ANB, ostaju izvan dometa </w:t>
      </w:r>
      <w:proofErr w:type="spellStart"/>
      <w:r w:rsidRPr="00EB221F">
        <w:rPr>
          <w:rFonts w:ascii="Arial Narrow" w:hAnsi="Arial Narrow" w:cs="Al Bayan Plain"/>
          <w:sz w:val="22"/>
          <w:szCs w:val="22"/>
          <w:lang w:val="hr-HR"/>
        </w:rPr>
        <w:t>ZoJN</w:t>
      </w:r>
      <w:proofErr w:type="spellEnd"/>
      <w:r w:rsidRPr="00EB221F">
        <w:rPr>
          <w:rFonts w:ascii="Arial Narrow" w:hAnsi="Arial Narrow" w:cs="Al Bayan Plain"/>
          <w:sz w:val="22"/>
          <w:szCs w:val="22"/>
          <w:lang w:val="hr-HR"/>
        </w:rPr>
        <w:t xml:space="preserve"> i Vladinih pravila. Propuštena je šansa da se novom regulativom ojačaju kontrolni mehanizmi, a naročito Skupštinski odbor za bezbjednost i </w:t>
      </w:r>
      <w:proofErr w:type="spellStart"/>
      <w:r w:rsidRPr="00EB221F">
        <w:rPr>
          <w:rFonts w:ascii="Arial Narrow" w:hAnsi="Arial Narrow" w:cs="Al Bayan Plain"/>
          <w:sz w:val="22"/>
          <w:szCs w:val="22"/>
          <w:lang w:val="hr-HR"/>
        </w:rPr>
        <w:t>odbranu</w:t>
      </w:r>
      <w:proofErr w:type="spellEnd"/>
      <w:r w:rsidRPr="00EB221F">
        <w:rPr>
          <w:rFonts w:ascii="Arial Narrow" w:hAnsi="Arial Narrow" w:cs="Al Bayan Plain"/>
          <w:sz w:val="22"/>
          <w:szCs w:val="22"/>
          <w:lang w:val="hr-HR"/>
        </w:rPr>
        <w:t xml:space="preserve">, te da se planiranje i izvještavanje o nabavkama u ovom sektoru „veže“ za strateške </w:t>
      </w:r>
      <w:proofErr w:type="spellStart"/>
      <w:r w:rsidRPr="00EB221F">
        <w:rPr>
          <w:rFonts w:ascii="Arial Narrow" w:hAnsi="Arial Narrow" w:cs="Al Bayan Plain"/>
          <w:sz w:val="22"/>
          <w:szCs w:val="22"/>
          <w:lang w:val="hr-HR"/>
        </w:rPr>
        <w:t>bezbjednosno-odbrambene</w:t>
      </w:r>
      <w:proofErr w:type="spellEnd"/>
      <w:r w:rsidRPr="00EB221F">
        <w:rPr>
          <w:rFonts w:ascii="Arial Narrow" w:hAnsi="Arial Narrow" w:cs="Al Bayan Plain"/>
          <w:sz w:val="22"/>
          <w:szCs w:val="22"/>
          <w:lang w:val="hr-HR"/>
        </w:rPr>
        <w:t xml:space="preserve"> ciljeve. Budući da se, prema važećem regulatornom okviru, u skladu sa Zakonom o javnim nabavkama sprovode samo ne-</w:t>
      </w:r>
      <w:proofErr w:type="spellStart"/>
      <w:r w:rsidRPr="00EB221F">
        <w:rPr>
          <w:rFonts w:ascii="Arial Narrow" w:hAnsi="Arial Narrow" w:cs="Al Bayan Plain"/>
          <w:sz w:val="22"/>
          <w:szCs w:val="22"/>
          <w:lang w:val="hr-HR"/>
        </w:rPr>
        <w:t>bezbjednosne</w:t>
      </w:r>
      <w:proofErr w:type="spellEnd"/>
      <w:r w:rsidRPr="00EB221F">
        <w:rPr>
          <w:rFonts w:ascii="Arial Narrow" w:hAnsi="Arial Narrow" w:cs="Al Bayan Plain"/>
          <w:sz w:val="22"/>
          <w:szCs w:val="22"/>
          <w:lang w:val="hr-HR"/>
        </w:rPr>
        <w:t xml:space="preserve"> nabavke u sektoru bezbjednosti i odbrane, a da je sve ostalo prepušteno Vladinoj Uredbi, a njom dalje internim aktima naručilaca, ključne izmjene potrebno je napraviti upravo na nivou ove Uredbe. </w:t>
      </w:r>
    </w:p>
    <w:p w14:paraId="0DF867DF" w14:textId="77777777" w:rsidR="00371170" w:rsidRPr="00EB221F" w:rsidRDefault="00371170" w:rsidP="00371170">
      <w:pPr>
        <w:tabs>
          <w:tab w:val="left" w:pos="9072"/>
        </w:tabs>
        <w:ind w:right="-46"/>
        <w:jc w:val="both"/>
        <w:rPr>
          <w:rFonts w:ascii="Arial Narrow" w:hAnsi="Arial Narrow" w:cs="Al Bayan Plain"/>
          <w:sz w:val="22"/>
          <w:szCs w:val="22"/>
          <w:lang w:val="hr-HR"/>
        </w:rPr>
      </w:pPr>
    </w:p>
    <w:p w14:paraId="0DB59D32" w14:textId="77777777" w:rsidR="00371170" w:rsidRPr="00EB221F" w:rsidRDefault="00371170" w:rsidP="00371170">
      <w:pPr>
        <w:tabs>
          <w:tab w:val="left" w:pos="9072"/>
        </w:tabs>
        <w:ind w:right="-46"/>
        <w:jc w:val="both"/>
        <w:rPr>
          <w:rFonts w:ascii="Arial Narrow" w:hAnsi="Arial Narrow" w:cs="Al Bayan Plain"/>
          <w:sz w:val="22"/>
          <w:szCs w:val="22"/>
          <w:lang w:val="hr-HR"/>
        </w:rPr>
      </w:pPr>
      <w:r w:rsidRPr="00EB221F">
        <w:rPr>
          <w:rFonts w:ascii="Arial Narrow" w:hAnsi="Arial Narrow" w:cs="Al Bayan Plain"/>
          <w:sz w:val="22"/>
          <w:szCs w:val="22"/>
          <w:lang w:val="hr-HR"/>
        </w:rPr>
        <w:t xml:space="preserve">Dugoročno, potrebno je ponovo razmotriti potrebu usvajanja posebnog Zakona o nabavkama u sektoru bezbjednosti i odbrane, po uzoru na Sloveniju, u skladu sa preporukom Instituta alternativa iz 2018. godine. </w:t>
      </w:r>
    </w:p>
    <w:p w14:paraId="0B5C5013" w14:textId="77777777"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46"/>
        <w:jc w:val="both"/>
        <w:rPr>
          <w:rFonts w:ascii="Arial Narrow" w:eastAsia="Calibri" w:hAnsi="Arial Narrow" w:cs="Al Bayan Plain"/>
          <w:noProof/>
          <w:lang w:val="hr-HR"/>
        </w:rPr>
      </w:pPr>
    </w:p>
    <w:p w14:paraId="6F789243" w14:textId="77777777"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46"/>
        <w:jc w:val="both"/>
        <w:rPr>
          <w:rFonts w:ascii="Arial Narrow" w:eastAsia="Calibri" w:hAnsi="Arial Narrow" w:cs="Al Bayan Plain"/>
          <w:noProof/>
          <w:lang w:val="hr-HR"/>
        </w:rPr>
      </w:pPr>
      <w:r w:rsidRPr="00EB221F">
        <w:rPr>
          <w:rFonts w:ascii="Arial Narrow" w:hAnsi="Arial Narrow" w:cs="Al Bayan Plain"/>
          <w:noProof/>
          <w:lang w:val="hr-HR"/>
        </w:rPr>
        <w:t>Predlagač: Vlada, Ministarstvo finansija i socijalnog staranja, Ministarstvo odbrane</w:t>
      </w:r>
    </w:p>
    <w:p w14:paraId="7F8FF85E" w14:textId="7713A933"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46"/>
        <w:jc w:val="both"/>
        <w:rPr>
          <w:rFonts w:ascii="Arial Narrow" w:eastAsia="Calibri" w:hAnsi="Arial Narrow" w:cs="Al Bayan Plain"/>
          <w:noProof/>
          <w:lang w:val="hr-HR"/>
        </w:rPr>
      </w:pPr>
    </w:p>
    <w:p w14:paraId="484F07B5" w14:textId="77777777"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46"/>
        <w:jc w:val="both"/>
        <w:rPr>
          <w:rFonts w:ascii="Arial Narrow" w:eastAsia="Calibri" w:hAnsi="Arial Narrow" w:cs="Al Bayan Plain"/>
          <w:noProof/>
          <w:lang w:val="hr-HR"/>
        </w:rPr>
      </w:pPr>
    </w:p>
    <w:p w14:paraId="51381ADE" w14:textId="77777777"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46"/>
        <w:jc w:val="both"/>
        <w:rPr>
          <w:rFonts w:ascii="Arial Narrow" w:eastAsia="Calibri" w:hAnsi="Arial Narrow" w:cs="Al Bayan Plain"/>
          <w:b/>
          <w:bCs/>
          <w:noProof/>
          <w:lang w:val="hr-HR"/>
        </w:rPr>
      </w:pPr>
      <w:r w:rsidRPr="00EB221F">
        <w:rPr>
          <w:rFonts w:ascii="Arial Narrow" w:hAnsi="Arial Narrow" w:cs="Al Bayan Plain"/>
          <w:b/>
          <w:bCs/>
          <w:noProof/>
          <w:lang w:val="hr-HR"/>
        </w:rPr>
        <w:t xml:space="preserve">16. Izvještaj o sprovođenju povjerljivih javnih nabavki (nabavki u sektoru bezbjednosti i odbrane) </w:t>
      </w:r>
    </w:p>
    <w:p w14:paraId="706BA610" w14:textId="77777777"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46"/>
        <w:jc w:val="both"/>
        <w:rPr>
          <w:rFonts w:ascii="Arial Narrow" w:eastAsia="Calibri" w:hAnsi="Arial Narrow" w:cs="Al Bayan Plain"/>
          <w:noProof/>
          <w:lang w:val="hr-HR"/>
        </w:rPr>
      </w:pPr>
    </w:p>
    <w:p w14:paraId="6CCEB7D5" w14:textId="77777777"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46"/>
        <w:jc w:val="both"/>
        <w:rPr>
          <w:rFonts w:ascii="Arial Narrow" w:hAnsi="Arial Narrow" w:cs="Al Bayan Plain"/>
          <w:noProof/>
          <w:lang w:val="hr-HR"/>
        </w:rPr>
      </w:pPr>
      <w:r w:rsidRPr="00EB221F">
        <w:rPr>
          <w:rFonts w:ascii="Arial Narrow" w:hAnsi="Arial Narrow" w:cs="Al Bayan Plain"/>
          <w:noProof/>
          <w:lang w:val="hr-HR"/>
        </w:rPr>
        <w:t>Podaci o potrošnji za povjerljive nabavke skoro po pravilu nisu dostupni javnosti - ne objavljuju se proaktivno niti su za pojedine naručioce dostupni po zahtjevu za slobodan pristup informacijama. Uprkos posljednjim izmjenama regulatornog okvira, jedinstveni sistem planiranja i izvještavanja o povjerljivim nabavkama nije uspostavljen na nivou svih naručilaca sektora bezbjednosti, pa su prakse različite, što se takođe negativno odražava na kontrolu ove oblasti. Stoga je, pored dostavljanja detaljnih izvještaja o ovim nabavkama nadzornim institucijama, neophodno sačinjavanje i objavljivanje makar minimuma informacija o potrošnji za povjerljive nabavke kroz sačinjavanje posebnog godišnjih izvještaja o povjerljivim nabavkama ili kao sastavni dio godišnjeg Izvještaja o javnim nabavkama koji priprema Ministarstvo finansija i socijalnog staranja. Na taj način, javnost bi imala makar minimalni uvid u to kako se i koliko novca troši za nabavke u sektoru bezbjednosti (procijenjenu i izvršenu vrijednosti nabavke, primijenjene procedure, broj podnijetih ponuda i slično), a ne bi se ugrozila tajnost koja karakteriše povjerljivu prirodu nabavki u sektoru bezbjednosti.</w:t>
      </w:r>
    </w:p>
    <w:p w14:paraId="516F68AE" w14:textId="77777777"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46"/>
        <w:jc w:val="both"/>
        <w:rPr>
          <w:rFonts w:ascii="Arial Narrow" w:hAnsi="Arial Narrow" w:cs="Al Bayan Plain"/>
          <w:noProof/>
          <w:lang w:val="hr-HR"/>
        </w:rPr>
      </w:pPr>
    </w:p>
    <w:p w14:paraId="3A0FB041" w14:textId="77777777"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46"/>
        <w:jc w:val="both"/>
        <w:rPr>
          <w:rFonts w:ascii="Arial Narrow" w:hAnsi="Arial Narrow" w:cs="Al Bayan Plain"/>
          <w:noProof/>
          <w:lang w:val="hr-HR"/>
        </w:rPr>
      </w:pPr>
      <w:r w:rsidRPr="00EB221F">
        <w:rPr>
          <w:rFonts w:ascii="Arial Narrow" w:hAnsi="Arial Narrow" w:cs="Al Bayan Plain"/>
          <w:noProof/>
          <w:lang w:val="hr-HR"/>
        </w:rPr>
        <w:t>Nosilac aktivnosti: Ministarstvo finansija i socijalnog staranja (MUP, ANB, Uprava policije, Ministarstvo odbrane)</w:t>
      </w:r>
    </w:p>
    <w:p w14:paraId="06E98DAD" w14:textId="1AE7801A"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46"/>
        <w:jc w:val="both"/>
        <w:rPr>
          <w:rFonts w:ascii="Arial Narrow" w:hAnsi="Arial Narrow" w:cs="Al Bayan Plain"/>
          <w:noProof/>
          <w:lang w:val="hr-HR"/>
        </w:rPr>
      </w:pPr>
    </w:p>
    <w:p w14:paraId="3E2A14A7" w14:textId="77777777"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46"/>
        <w:jc w:val="both"/>
        <w:rPr>
          <w:rFonts w:ascii="Arial Narrow" w:hAnsi="Arial Narrow" w:cs="Al Bayan Plain"/>
          <w:noProof/>
          <w:lang w:val="hr-HR"/>
        </w:rPr>
      </w:pPr>
    </w:p>
    <w:p w14:paraId="48ECD414" w14:textId="77777777"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46"/>
        <w:jc w:val="both"/>
        <w:rPr>
          <w:rFonts w:ascii="Arial Narrow" w:hAnsi="Arial Narrow" w:cs="Al Bayan Plain"/>
          <w:b/>
          <w:bCs/>
          <w:noProof/>
          <w:lang w:val="hr-HR"/>
        </w:rPr>
      </w:pPr>
      <w:r w:rsidRPr="00EB221F">
        <w:rPr>
          <w:rFonts w:ascii="Arial Narrow" w:hAnsi="Arial Narrow" w:cs="Al Bayan Plain"/>
          <w:b/>
          <w:bCs/>
          <w:noProof/>
          <w:lang w:val="hr-HR"/>
        </w:rPr>
        <w:t>17. Izvještaj sa javne rasprave o Nacrtu Zakona o budžetu Crne Gore za 2022. godinu</w:t>
      </w:r>
    </w:p>
    <w:p w14:paraId="4090DFE1" w14:textId="77777777"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46"/>
        <w:jc w:val="both"/>
        <w:rPr>
          <w:rFonts w:ascii="Arial Narrow" w:hAnsi="Arial Narrow" w:cs="Al Bayan Plain"/>
          <w:noProof/>
          <w:lang w:val="hr-HR"/>
        </w:rPr>
      </w:pPr>
    </w:p>
    <w:p w14:paraId="10E981B3" w14:textId="77777777"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46"/>
        <w:jc w:val="both"/>
        <w:rPr>
          <w:rFonts w:ascii="Arial Narrow" w:hAnsi="Arial Narrow" w:cs="Al Bayan Plain"/>
          <w:noProof/>
          <w:lang w:val="hr-HR"/>
        </w:rPr>
      </w:pPr>
      <w:r w:rsidRPr="00EB221F">
        <w:rPr>
          <w:rFonts w:ascii="Arial Narrow" w:hAnsi="Arial Narrow" w:cs="Al Bayan Plain"/>
          <w:noProof/>
          <w:lang w:val="hr-HR"/>
        </w:rPr>
        <w:t xml:space="preserve">Suštinsko otvaranje Vlade Crne Gore i Ministarstva finansija i socijalnog staranja značilo bi, između ostalog, i raskid sa starim praksama neodržavanja javnih rasprava o državnom budžetu. Uprkos kratkim rokovima i vanrednim okolnostima privremenog finansiranja, Ministarstvo finansija i socijalnog staranja bi u odnosu na aktuelni nacrt budžeta, uz ciljane konsultacije sa javnošću, moglo da prikupi dodatne informacije o građana i građanki o prioritetima javne potrošnje u narednom periodu. Imajući u vidu da već teku rokovi, previđeni u budžetkom kalendaru za izradu budžeta za narednu godinu, smatramo da pravovremeno treba planirati i omogućiti puno učešće javnosti, u skladu sa propisanim rokovima, u izradi državnog budžeta za 2022. godinu. </w:t>
      </w:r>
    </w:p>
    <w:p w14:paraId="69216407" w14:textId="77777777"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46"/>
        <w:jc w:val="both"/>
        <w:rPr>
          <w:rFonts w:ascii="Arial Narrow" w:hAnsi="Arial Narrow" w:cs="Al Bayan Plain"/>
          <w:noProof/>
          <w:lang w:val="hr-HR"/>
        </w:rPr>
      </w:pPr>
    </w:p>
    <w:p w14:paraId="41073CA1" w14:textId="77777777"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46"/>
        <w:jc w:val="both"/>
        <w:rPr>
          <w:rFonts w:ascii="Arial Narrow" w:eastAsia="Calibri" w:hAnsi="Arial Narrow" w:cs="Al Bayan Plain"/>
          <w:noProof/>
          <w:lang w:val="hr-HR"/>
        </w:rPr>
      </w:pPr>
      <w:r w:rsidRPr="00EB221F">
        <w:rPr>
          <w:rFonts w:ascii="Arial Narrow" w:hAnsi="Arial Narrow" w:cs="Al Bayan Plain"/>
          <w:noProof/>
          <w:lang w:val="hr-HR"/>
        </w:rPr>
        <w:lastRenderedPageBreak/>
        <w:t xml:space="preserve">Nosilac aktivnosti: Ministarstvo finansija i socijalnog staranja </w:t>
      </w:r>
    </w:p>
    <w:p w14:paraId="4DADCF65" w14:textId="6F670EC6"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46"/>
        <w:jc w:val="both"/>
        <w:rPr>
          <w:rFonts w:ascii="Arial Narrow" w:eastAsia="Calibri" w:hAnsi="Arial Narrow" w:cs="Al Bayan Plain"/>
          <w:noProof/>
          <w:lang w:val="hr-HR"/>
        </w:rPr>
      </w:pPr>
    </w:p>
    <w:p w14:paraId="5FAEC667" w14:textId="77777777"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46"/>
        <w:jc w:val="both"/>
        <w:rPr>
          <w:rFonts w:ascii="Arial Narrow" w:eastAsia="Calibri" w:hAnsi="Arial Narrow" w:cs="Al Bayan Plain"/>
          <w:noProof/>
          <w:lang w:val="hr-HR"/>
        </w:rPr>
      </w:pPr>
    </w:p>
    <w:p w14:paraId="1FFA268B" w14:textId="77777777"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46"/>
        <w:jc w:val="both"/>
        <w:rPr>
          <w:rFonts w:ascii="Arial Narrow" w:eastAsia="Calibri" w:hAnsi="Arial Narrow" w:cs="Al Bayan Plain"/>
          <w:b/>
          <w:bCs/>
          <w:noProof/>
          <w:lang w:val="hr-HR"/>
        </w:rPr>
      </w:pPr>
      <w:r w:rsidRPr="00EB221F">
        <w:rPr>
          <w:rFonts w:ascii="Arial Narrow" w:hAnsi="Arial Narrow" w:cs="Al Bayan Plain"/>
          <w:b/>
          <w:bCs/>
          <w:noProof/>
          <w:lang w:val="hr-HR"/>
        </w:rPr>
        <w:t>18. Zakon o izmjenama i dopunama Zakona o sprječavanju korupcije</w:t>
      </w:r>
    </w:p>
    <w:p w14:paraId="5AA55599" w14:textId="77777777"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46"/>
        <w:jc w:val="both"/>
        <w:rPr>
          <w:rFonts w:ascii="Arial Narrow" w:eastAsia="Calibri" w:hAnsi="Arial Narrow" w:cs="Al Bayan Plain"/>
          <w:noProof/>
          <w:lang w:val="hr-HR"/>
        </w:rPr>
      </w:pPr>
    </w:p>
    <w:p w14:paraId="6C84D0EC" w14:textId="4BDFFA8C"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46"/>
        <w:jc w:val="both"/>
        <w:rPr>
          <w:rFonts w:ascii="Arial Narrow" w:hAnsi="Arial Narrow" w:cs="Al Bayan Plain"/>
          <w:noProof/>
          <w:lang w:val="hr-HR"/>
        </w:rPr>
      </w:pPr>
      <w:r w:rsidRPr="00EB221F">
        <w:rPr>
          <w:rFonts w:ascii="Arial Narrow" w:hAnsi="Arial Narrow" w:cs="Al Bayan Plain"/>
          <w:noProof/>
          <w:lang w:val="hr-HR"/>
        </w:rPr>
        <w:t>Potrebno je izvršiti ozbiljnu reformu odredbi Zakona o sprečavanju korupcije, u skladu sa iskustvima, naučenim lekcijama i predlozima i sugestijama koje su u protekle četiri godine dali državni organi, nevladine i međunarodne organizacije. Između ostalog, potrebno je izmjenama Zakona brisati ograničenje iz člana 39, stav 2 kojim se propisuje da se ne objavljuju odluke Agencije za sprječavanje korupcije bez saglasnosti javnog funkcionera na kog se odluka odnosi onda kada Agencija utvrdi da nije bilo kršenja zakona. Takođe, potrebno je izmijeniti Član 42, stav 4 Zakona o sprječavanju korupcije na način što će se četvorogodišnja zabrana obavljanja javne funkcije za javnog funkcionera koji prekrši Zakon o sprječavanju korupcije proširiti i na one funkcionere koji usljed utvrđenog kršenja Zakona podnesu ostavku, a ne samo na one koji zbog kršenja Zakona budu razriješeni, što je sada slučaj. U krajnjem, javne nabavke, iako važna oblast posebno podložna korupciji, već godinama su „ispod radara“ Agencije i Zakona o sprječavanju korupcije. S tim u vezi, uz policijske službenike, službenike Uprave carina, Poreske uprave i slično, potrebno je propisati obavezu podnošenja izvještaja o prihodima i imovini i za službenike za javne nabavke i članove tenderskih komisija. Takođe, Zakonom je potrebno u sistem sprečavanje korupcije i kontrole sukoba interesa uključiti i sektor javnih nabavki, sa posebnim fokusom na ispitivanje sprege između politike i biznisa, odnosno ispitivanja veza javnih funkcionera sa firmama koje učestvuju na tržištu javnih nabavki.</w:t>
      </w:r>
    </w:p>
    <w:p w14:paraId="3E4FE073" w14:textId="77777777"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46"/>
        <w:jc w:val="both"/>
        <w:rPr>
          <w:rFonts w:ascii="Arial Narrow" w:eastAsia="Calibri" w:hAnsi="Arial Narrow" w:cs="Al Bayan Plain"/>
          <w:noProof/>
          <w:lang w:val="hr-HR"/>
        </w:rPr>
      </w:pPr>
      <w:r w:rsidRPr="00EB221F">
        <w:rPr>
          <w:rFonts w:ascii="Arial Narrow" w:hAnsi="Arial Narrow" w:cs="Al Bayan Plain"/>
          <w:noProof/>
          <w:lang w:val="hr-HR"/>
        </w:rPr>
        <w:br/>
        <w:t>Predlagač: Ministarstvo pravde, ljudskih i manjinskih prava</w:t>
      </w:r>
    </w:p>
    <w:p w14:paraId="19627937" w14:textId="6A9B9D8E"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46"/>
        <w:jc w:val="both"/>
        <w:rPr>
          <w:rFonts w:ascii="Arial Narrow" w:eastAsia="Calibri" w:hAnsi="Arial Narrow" w:cs="Al Bayan Plain"/>
          <w:noProof/>
          <w:lang w:val="hr-HR"/>
        </w:rPr>
      </w:pPr>
    </w:p>
    <w:p w14:paraId="6EF84279" w14:textId="77777777"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46"/>
        <w:jc w:val="both"/>
        <w:rPr>
          <w:rFonts w:ascii="Arial Narrow" w:eastAsia="Calibri" w:hAnsi="Arial Narrow" w:cs="Al Bayan Plain"/>
          <w:noProof/>
          <w:lang w:val="hr-HR"/>
        </w:rPr>
      </w:pPr>
    </w:p>
    <w:p w14:paraId="71D0F9DC" w14:textId="77777777"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46"/>
        <w:jc w:val="both"/>
        <w:rPr>
          <w:rFonts w:ascii="Arial Narrow" w:eastAsia="Calibri" w:hAnsi="Arial Narrow" w:cs="Al Bayan Plain"/>
          <w:b/>
          <w:bCs/>
          <w:noProof/>
          <w:lang w:val="hr-HR"/>
        </w:rPr>
      </w:pPr>
      <w:r w:rsidRPr="00EB221F">
        <w:rPr>
          <w:rFonts w:ascii="Arial Narrow" w:hAnsi="Arial Narrow" w:cs="Al Bayan Plain"/>
          <w:b/>
          <w:bCs/>
          <w:noProof/>
          <w:lang w:val="hr-HR"/>
        </w:rPr>
        <w:t>19. Izvještaj o primjeni Zakona o javnim okupljanjima i javnim priredbama</w:t>
      </w:r>
    </w:p>
    <w:p w14:paraId="790E66AD" w14:textId="77777777"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spacing w:before="100" w:after="100"/>
        <w:ind w:right="-46"/>
        <w:jc w:val="both"/>
        <w:rPr>
          <w:rFonts w:ascii="Arial Narrow" w:hAnsi="Arial Narrow" w:cs="Al Bayan Plain"/>
          <w:noProof/>
          <w:lang w:val="hr-HR"/>
        </w:rPr>
      </w:pPr>
      <w:r w:rsidRPr="00EB221F">
        <w:rPr>
          <w:rFonts w:ascii="Arial Narrow" w:hAnsi="Arial Narrow" w:cs="Al Bayan Plain"/>
          <w:noProof/>
          <w:lang w:val="hr-HR"/>
        </w:rPr>
        <w:t>Riječ je o zakonskoj obavezi (Vlada Crne Gore o primjeni ovog zakona podnosi izvještaj Skupštini Crne Gore, najmanje jednom godišnje, a najkasnije do 31. marta tekuće godine za prethodnu godinu).</w:t>
      </w:r>
    </w:p>
    <w:p w14:paraId="3886017F" w14:textId="77777777"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46"/>
        <w:jc w:val="both"/>
        <w:rPr>
          <w:rFonts w:ascii="Arial Narrow" w:eastAsia="Calibri" w:hAnsi="Arial Narrow" w:cs="Al Bayan Plain"/>
          <w:noProof/>
          <w:lang w:val="hr-HR"/>
        </w:rPr>
      </w:pPr>
      <w:r w:rsidRPr="00EB221F">
        <w:rPr>
          <w:rFonts w:ascii="Arial Narrow" w:hAnsi="Arial Narrow" w:cs="Al Bayan Plain"/>
          <w:noProof/>
          <w:lang w:val="hr-HR"/>
        </w:rPr>
        <w:t>Nosilac aktivnosti: Ministarstvo unutrašnjih poslova</w:t>
      </w:r>
    </w:p>
    <w:p w14:paraId="07F4285A" w14:textId="4DA2A6AA"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46"/>
        <w:jc w:val="both"/>
        <w:rPr>
          <w:rFonts w:ascii="Arial Narrow" w:eastAsia="Calibri" w:hAnsi="Arial Narrow" w:cs="Al Bayan Plain"/>
          <w:noProof/>
          <w:lang w:val="hr-HR"/>
        </w:rPr>
      </w:pPr>
    </w:p>
    <w:p w14:paraId="73E0B06E" w14:textId="77777777"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46"/>
        <w:jc w:val="both"/>
        <w:rPr>
          <w:rFonts w:ascii="Arial Narrow" w:eastAsia="Calibri" w:hAnsi="Arial Narrow" w:cs="Al Bayan Plain"/>
          <w:noProof/>
          <w:lang w:val="hr-HR"/>
        </w:rPr>
      </w:pPr>
    </w:p>
    <w:p w14:paraId="278A2E3D" w14:textId="77777777"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46"/>
        <w:jc w:val="both"/>
        <w:rPr>
          <w:rFonts w:ascii="Arial Narrow" w:eastAsia="Calibri" w:hAnsi="Arial Narrow" w:cs="Al Bayan Plain"/>
          <w:b/>
          <w:bCs/>
          <w:noProof/>
          <w:lang w:val="hr-HR"/>
        </w:rPr>
      </w:pPr>
      <w:r w:rsidRPr="00EB221F">
        <w:rPr>
          <w:rFonts w:ascii="Arial Narrow" w:hAnsi="Arial Narrow" w:cs="Al Bayan Plain"/>
          <w:b/>
          <w:bCs/>
          <w:noProof/>
          <w:lang w:val="hr-HR"/>
        </w:rPr>
        <w:t>20. Analiza razlika u statističkom izvještavanju organa, posebno u vezi sa predmetima korupcije i organizovanog kriminala</w:t>
      </w:r>
    </w:p>
    <w:p w14:paraId="1205114B" w14:textId="77777777"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46"/>
        <w:jc w:val="both"/>
        <w:rPr>
          <w:rFonts w:ascii="Arial Narrow" w:eastAsia="Calibri" w:hAnsi="Arial Narrow" w:cs="Al Bayan Plain"/>
          <w:noProof/>
          <w:lang w:val="hr-HR"/>
        </w:rPr>
      </w:pPr>
    </w:p>
    <w:p w14:paraId="5E943D5C" w14:textId="7B1C9174"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46"/>
        <w:jc w:val="both"/>
        <w:rPr>
          <w:rFonts w:ascii="Arial Narrow" w:eastAsia="Calibri" w:hAnsi="Arial Narrow" w:cs="Al Bayan Plain"/>
          <w:noProof/>
          <w:lang w:val="hr-HR"/>
        </w:rPr>
      </w:pPr>
      <w:r w:rsidRPr="00EB221F">
        <w:rPr>
          <w:rFonts w:ascii="Arial Narrow" w:hAnsi="Arial Narrow" w:cs="Al Bayan Plain"/>
          <w:noProof/>
          <w:lang w:val="hr-HR"/>
        </w:rPr>
        <w:t>U cilju cjelovitog utvrđivanja i praćenja zvaničnih podataka različitih organa, neophodno pripremiti analizu stanja i razlika u statističkom izvještavanju ova tri organa, i predložiti mjere za postepeno ujednačavanje statistike, sa rokovima za realizaciju zaključaka i preporuka. Unaprijeđenje statistike ima za cilj da omogući kvalitetnije praćenje rada i rezultata ovih organa, posebno u svjetlu pregovora u poglavljima 23 i 24. U tom cilju je neophodno formirati radnu grupu koju će činiti predstavnici Uprave policije, Ministarstva unutrašnjih poslova, Državnog tužilaštva, Vrhovnog suda, Tužilačkog i Sudskog savjeta, a koju će voditi Ministarstvo pravde, ljudskih i manjinskih prava.</w:t>
      </w:r>
      <w:r w:rsidRPr="00EB221F">
        <w:rPr>
          <w:rFonts w:ascii="Arial Narrow" w:hAnsi="Arial Narrow" w:cs="Al Bayan Plain"/>
          <w:noProof/>
          <w:lang w:val="hr-HR"/>
        </w:rPr>
        <w:br/>
      </w:r>
      <w:r w:rsidRPr="00EB221F">
        <w:rPr>
          <w:rFonts w:ascii="Arial Narrow" w:hAnsi="Arial Narrow" w:cs="Al Bayan Plain"/>
          <w:noProof/>
          <w:lang w:val="hr-HR"/>
        </w:rPr>
        <w:br/>
        <w:t>Predlagač: Ministarstvo pravde, ljudskih i manjinskih prava</w:t>
      </w:r>
    </w:p>
    <w:p w14:paraId="7802ECB4" w14:textId="0DDD62A7"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46"/>
        <w:jc w:val="both"/>
        <w:rPr>
          <w:rFonts w:ascii="Arial Narrow" w:hAnsi="Arial Narrow" w:cs="Al Bayan Plain"/>
          <w:noProof/>
          <w:lang w:val="hr-HR"/>
        </w:rPr>
      </w:pPr>
    </w:p>
    <w:p w14:paraId="011E495C" w14:textId="77777777"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46"/>
        <w:jc w:val="both"/>
        <w:rPr>
          <w:rFonts w:ascii="Arial Narrow" w:hAnsi="Arial Narrow" w:cs="Al Bayan Plain"/>
          <w:noProof/>
          <w:lang w:val="hr-HR"/>
        </w:rPr>
      </w:pPr>
    </w:p>
    <w:p w14:paraId="233FA004" w14:textId="77777777" w:rsidR="00371170" w:rsidRPr="00EB221F" w:rsidRDefault="00371170" w:rsidP="00371170">
      <w:pPr>
        <w:tabs>
          <w:tab w:val="left" w:pos="9072"/>
        </w:tabs>
        <w:ind w:right="-46"/>
        <w:rPr>
          <w:rFonts w:ascii="Arial Narrow" w:eastAsia="Times New Roman" w:hAnsi="Arial Narrow" w:cs="Al Bayan Plain"/>
          <w:b/>
          <w:bCs/>
          <w:sz w:val="22"/>
          <w:szCs w:val="22"/>
          <w:lang w:val="hr-HR"/>
        </w:rPr>
      </w:pPr>
      <w:r w:rsidRPr="00EB221F">
        <w:rPr>
          <w:rFonts w:ascii="Arial Narrow" w:hAnsi="Arial Narrow" w:cs="Al Bayan Plain"/>
          <w:b/>
          <w:bCs/>
          <w:noProof/>
          <w:sz w:val="22"/>
          <w:szCs w:val="22"/>
          <w:lang w:val="hr-HR"/>
        </w:rPr>
        <w:t xml:space="preserve">21. Zakon o izmjenama i dopunama Zakona o državnim službenicima i namještenicima: Izmjene Uredbe o </w:t>
      </w:r>
      <w:proofErr w:type="spellStart"/>
      <w:r w:rsidRPr="00EB221F">
        <w:rPr>
          <w:rFonts w:ascii="Arial Narrow" w:eastAsia="Times New Roman" w:hAnsi="Arial Narrow" w:cs="Al Bayan Plain"/>
          <w:b/>
          <w:bCs/>
          <w:sz w:val="22"/>
          <w:szCs w:val="22"/>
          <w:lang w:val="hr-HR"/>
        </w:rPr>
        <w:t>kriterijumima</w:t>
      </w:r>
      <w:proofErr w:type="spellEnd"/>
      <w:r w:rsidRPr="00EB221F">
        <w:rPr>
          <w:rFonts w:ascii="Arial Narrow" w:eastAsia="Times New Roman" w:hAnsi="Arial Narrow" w:cs="Al Bayan Plain"/>
          <w:b/>
          <w:bCs/>
          <w:sz w:val="22"/>
          <w:szCs w:val="22"/>
          <w:lang w:val="hr-HR"/>
        </w:rPr>
        <w:t xml:space="preserve"> i bližem načinu </w:t>
      </w:r>
      <w:proofErr w:type="spellStart"/>
      <w:r w:rsidRPr="00EB221F">
        <w:rPr>
          <w:rFonts w:ascii="Arial Narrow" w:eastAsia="Times New Roman" w:hAnsi="Arial Narrow" w:cs="Al Bayan Plain"/>
          <w:b/>
          <w:bCs/>
          <w:sz w:val="22"/>
          <w:szCs w:val="22"/>
          <w:lang w:val="hr-HR"/>
        </w:rPr>
        <w:t>sprovođenja</w:t>
      </w:r>
      <w:proofErr w:type="spellEnd"/>
      <w:r w:rsidRPr="00EB221F">
        <w:rPr>
          <w:rFonts w:ascii="Arial Narrow" w:eastAsia="Times New Roman" w:hAnsi="Arial Narrow" w:cs="Al Bayan Plain"/>
          <w:b/>
          <w:bCs/>
          <w:sz w:val="22"/>
          <w:szCs w:val="22"/>
          <w:lang w:val="hr-HR"/>
        </w:rPr>
        <w:t xml:space="preserve"> provjere znanja, sposobnosti, kompetencija i vještina za rad u državnim organima</w:t>
      </w:r>
    </w:p>
    <w:p w14:paraId="5AEA7F36" w14:textId="77777777"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46"/>
        <w:jc w:val="both"/>
        <w:rPr>
          <w:rFonts w:ascii="Arial Narrow" w:hAnsi="Arial Narrow" w:cs="Al Bayan Plain"/>
          <w:noProof/>
          <w:lang w:val="hr-HR"/>
        </w:rPr>
      </w:pPr>
    </w:p>
    <w:p w14:paraId="711F1893" w14:textId="5C68B94F" w:rsidR="00371170" w:rsidRPr="00EB221F" w:rsidRDefault="00371170" w:rsidP="00371170">
      <w:pPr>
        <w:tabs>
          <w:tab w:val="left" w:pos="9072"/>
        </w:tabs>
        <w:ind w:right="-46"/>
        <w:jc w:val="both"/>
        <w:rPr>
          <w:rFonts w:ascii="Arial Narrow" w:eastAsia="Times New Roman" w:hAnsi="Arial Narrow" w:cs="Al Bayan Plain"/>
          <w:sz w:val="22"/>
          <w:szCs w:val="22"/>
          <w:lang w:val="hr-HR"/>
        </w:rPr>
      </w:pPr>
      <w:r w:rsidRPr="00EB221F">
        <w:rPr>
          <w:rFonts w:ascii="Arial Narrow" w:hAnsi="Arial Narrow" w:cs="Al Bayan Plain"/>
          <w:noProof/>
          <w:sz w:val="22"/>
          <w:szCs w:val="22"/>
          <w:lang w:val="hr-HR"/>
        </w:rPr>
        <w:t xml:space="preserve">Važeći Zakon o državnim službenicima i namještenicima pati od brojnih manjkavosti. Kao što smo ukazali u analizi «Ka upravi po zaslugama a ne po mjeri partija», </w:t>
      </w:r>
      <w:r w:rsidRPr="00EB221F">
        <w:rPr>
          <w:rFonts w:ascii="Arial Narrow" w:eastAsia="Times New Roman" w:hAnsi="Arial Narrow" w:cs="Al Bayan Plain"/>
          <w:sz w:val="22"/>
          <w:szCs w:val="22"/>
          <w:lang w:val="hr-HR"/>
        </w:rPr>
        <w:t>smatramo da je sastav komisija za provjeru sposobnosti kandidata za posao u državnim organima od presudnog značaja, i da se mora preispitati, po mogućnosti da uključi veći broj stručnjaka i da jasno propiše da  nezavisni stručnjaci ne mogu biti članovi političkih partija. Neopho</w:t>
      </w:r>
      <w:r w:rsidR="00EB221F">
        <w:rPr>
          <w:rFonts w:ascii="Arial Narrow" w:eastAsia="Times New Roman" w:hAnsi="Arial Narrow" w:cs="Al Bayan Plain"/>
          <w:sz w:val="22"/>
          <w:szCs w:val="22"/>
          <w:lang w:val="hr-HR"/>
        </w:rPr>
        <w:t>d</w:t>
      </w:r>
      <w:r w:rsidRPr="00EB221F">
        <w:rPr>
          <w:rFonts w:ascii="Arial Narrow" w:eastAsia="Times New Roman" w:hAnsi="Arial Narrow" w:cs="Al Bayan Plain"/>
          <w:sz w:val="22"/>
          <w:szCs w:val="22"/>
          <w:lang w:val="hr-HR"/>
        </w:rPr>
        <w:t xml:space="preserve">no je ukinuti diskreciono pravo da se bira bilo koji od tri najbolje rangirana kandidata ili kandidatkinje, jer imajući u vidu prosječnu konkurentnost popune radnih mjesta u državnim organima, ovako široko diskreciono pravo ne doprinosi zapošljavanju zasnovanom na zaslugama. </w:t>
      </w:r>
    </w:p>
    <w:p w14:paraId="50FEB710" w14:textId="77777777" w:rsidR="00371170" w:rsidRPr="00EB221F" w:rsidRDefault="00371170" w:rsidP="00371170">
      <w:pPr>
        <w:tabs>
          <w:tab w:val="left" w:pos="9072"/>
        </w:tabs>
        <w:ind w:right="-46"/>
        <w:jc w:val="both"/>
        <w:rPr>
          <w:rFonts w:ascii="Arial Narrow" w:eastAsia="Times New Roman" w:hAnsi="Arial Narrow" w:cs="Al Bayan Plain"/>
          <w:sz w:val="22"/>
          <w:szCs w:val="22"/>
          <w:lang w:val="hr-HR"/>
        </w:rPr>
      </w:pPr>
    </w:p>
    <w:p w14:paraId="56C1BDCC" w14:textId="77777777" w:rsidR="00371170" w:rsidRPr="00EB221F" w:rsidRDefault="00371170" w:rsidP="00371170">
      <w:pPr>
        <w:tabs>
          <w:tab w:val="left" w:pos="9072"/>
        </w:tabs>
        <w:ind w:right="-46"/>
        <w:jc w:val="both"/>
        <w:rPr>
          <w:rFonts w:ascii="Arial Narrow" w:eastAsia="Times New Roman" w:hAnsi="Arial Narrow" w:cs="Al Bayan Plain"/>
          <w:sz w:val="22"/>
          <w:szCs w:val="22"/>
          <w:lang w:val="hr-HR"/>
        </w:rPr>
      </w:pPr>
      <w:r w:rsidRPr="00EB221F">
        <w:rPr>
          <w:rFonts w:ascii="Arial Narrow" w:eastAsia="Times New Roman" w:hAnsi="Arial Narrow" w:cs="Al Bayan Plain"/>
          <w:sz w:val="22"/>
          <w:szCs w:val="22"/>
          <w:lang w:val="hr-HR"/>
        </w:rPr>
        <w:lastRenderedPageBreak/>
        <w:t>Predlagač: Ministarstvo javne uprave, digitalnog društva i medija</w:t>
      </w:r>
    </w:p>
    <w:p w14:paraId="619B24E8" w14:textId="01F0F3BE"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46"/>
        <w:jc w:val="both"/>
        <w:rPr>
          <w:rFonts w:ascii="Arial Narrow" w:hAnsi="Arial Narrow" w:cs="Al Bayan Plain"/>
          <w:noProof/>
          <w:lang w:val="hr-HR"/>
        </w:rPr>
      </w:pPr>
      <w:r w:rsidRPr="00EB221F">
        <w:rPr>
          <w:rFonts w:ascii="Arial Narrow" w:hAnsi="Arial Narrow" w:cs="Al Bayan Plain"/>
          <w:noProof/>
          <w:lang w:val="hr-HR"/>
        </w:rPr>
        <w:t xml:space="preserve"> </w:t>
      </w:r>
    </w:p>
    <w:p w14:paraId="1451E3EB" w14:textId="77777777"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46"/>
        <w:jc w:val="both"/>
        <w:rPr>
          <w:rFonts w:ascii="Arial Narrow" w:hAnsi="Arial Narrow" w:cs="Al Bayan Plain"/>
          <w:noProof/>
          <w:lang w:val="hr-HR"/>
        </w:rPr>
      </w:pPr>
    </w:p>
    <w:p w14:paraId="17E3C468" w14:textId="77777777"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46"/>
        <w:jc w:val="both"/>
        <w:rPr>
          <w:rFonts w:ascii="Arial Narrow" w:hAnsi="Arial Narrow" w:cs="Al Bayan Plain"/>
          <w:b/>
          <w:bCs/>
          <w:noProof/>
          <w:lang w:val="hr-HR"/>
        </w:rPr>
      </w:pPr>
      <w:r w:rsidRPr="00EB221F">
        <w:rPr>
          <w:rFonts w:ascii="Arial Narrow" w:hAnsi="Arial Narrow" w:cs="Al Bayan Plain"/>
          <w:b/>
          <w:bCs/>
          <w:noProof/>
          <w:lang w:val="hr-HR"/>
        </w:rPr>
        <w:t>22. Izvještaj o radu Upravne inspekcije u 2020. godini sa naglaskom na utvrđene nepravilnosti u procedurama zapošljavanja u javnoj upravi</w:t>
      </w:r>
    </w:p>
    <w:p w14:paraId="17F28161" w14:textId="77777777"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46"/>
        <w:jc w:val="both"/>
        <w:rPr>
          <w:rFonts w:ascii="Arial Narrow" w:hAnsi="Arial Narrow" w:cs="Al Bayan Plain"/>
          <w:noProof/>
          <w:lang w:val="hr-HR"/>
        </w:rPr>
      </w:pPr>
    </w:p>
    <w:p w14:paraId="4D5A3789" w14:textId="77777777" w:rsidR="00371170" w:rsidRPr="00EB221F" w:rsidRDefault="00371170" w:rsidP="00371170">
      <w:pPr>
        <w:tabs>
          <w:tab w:val="left" w:pos="9072"/>
        </w:tabs>
        <w:ind w:right="-46"/>
        <w:jc w:val="both"/>
        <w:rPr>
          <w:rFonts w:ascii="Arial Narrow" w:eastAsia="Times New Roman" w:hAnsi="Arial Narrow" w:cs="Al Bayan Plain"/>
          <w:sz w:val="22"/>
          <w:szCs w:val="22"/>
          <w:lang w:val="hr-HR"/>
        </w:rPr>
      </w:pPr>
      <w:r w:rsidRPr="00EB221F">
        <w:rPr>
          <w:rFonts w:ascii="Arial Narrow" w:hAnsi="Arial Narrow" w:cs="Al Bayan Plain"/>
          <w:noProof/>
          <w:sz w:val="22"/>
          <w:szCs w:val="22"/>
          <w:lang w:val="hr-HR"/>
        </w:rPr>
        <w:t xml:space="preserve">Rad Upravne inspekcije, koji je presudan za preventivu zloupotreba prilikom procedura zapošljavanja u javnoj upravi, u prethodnom periodu je obilježila značajna netransparentnost. Osim šturih informacija u okviru izvještaja o radu nekadašnjeg Ministarstva javne uprave, javnost nema dovoljno informacija kojima bi se mogla cijeniti učinkovitost ove inspekcije, ali posredno, i poštovanje procedura zapošljavanja, ali i uopšte upravnog postupanja. Sačinjavanje i proaktivno objavljivanje izvještaja o radu Upravne inspekcije trebalo bi da bude redovna aktivnost novoformiranog Ministarstva javne uprave, digitalnog društva i medija. </w:t>
      </w:r>
      <w:r w:rsidRPr="00EB221F">
        <w:rPr>
          <w:rFonts w:ascii="Arial Narrow" w:eastAsia="Times New Roman" w:hAnsi="Arial Narrow" w:cs="Al Bayan Plain"/>
          <w:sz w:val="22"/>
          <w:szCs w:val="22"/>
          <w:lang w:val="hr-HR"/>
        </w:rPr>
        <w:t xml:space="preserve"> Izvještaji o radu Upravne inspekcije, između ostalog, treba da sadrže opise utvrđenih nepravilnosti tokom inspekcijskih pregleda i informacije o tome da li su utvrđene nepravilnosti otklonjene u zakonskim rokovima,  kao i podatke o žalbama na rješenja Upravne inspekcije i o odlukama Ministarstva javne uprave, digitalnog društva i medija na izjavljene žalbe, po organu na koji se žalba odnosi.</w:t>
      </w:r>
    </w:p>
    <w:p w14:paraId="19115FAF" w14:textId="77777777"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46"/>
        <w:jc w:val="both"/>
        <w:rPr>
          <w:rFonts w:ascii="Arial Narrow" w:hAnsi="Arial Narrow" w:cs="Al Bayan Plain"/>
          <w:noProof/>
          <w:lang w:val="hr-HR"/>
        </w:rPr>
      </w:pPr>
    </w:p>
    <w:p w14:paraId="4A90790B" w14:textId="77777777"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46"/>
        <w:jc w:val="both"/>
        <w:rPr>
          <w:rFonts w:ascii="Arial Narrow" w:hAnsi="Arial Narrow" w:cs="Al Bayan Plain"/>
          <w:noProof/>
          <w:lang w:val="hr-HR"/>
        </w:rPr>
      </w:pPr>
      <w:r w:rsidRPr="00EB221F">
        <w:rPr>
          <w:rFonts w:ascii="Arial Narrow" w:hAnsi="Arial Narrow" w:cs="Al Bayan Plain"/>
          <w:noProof/>
          <w:lang w:val="hr-HR"/>
        </w:rPr>
        <w:t xml:space="preserve">Nosilac aktivnosti: Ministarstvo javne uprave, digitalnog društva i medija </w:t>
      </w:r>
    </w:p>
    <w:p w14:paraId="5F83E45F" w14:textId="61DCFA75"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46"/>
        <w:jc w:val="both"/>
        <w:rPr>
          <w:rFonts w:ascii="Arial Narrow" w:hAnsi="Arial Narrow" w:cs="Al Bayan Plain"/>
          <w:noProof/>
          <w:lang w:val="hr-HR"/>
        </w:rPr>
      </w:pPr>
    </w:p>
    <w:p w14:paraId="7581548F" w14:textId="77777777"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46"/>
        <w:jc w:val="both"/>
        <w:rPr>
          <w:rFonts w:ascii="Arial Narrow" w:hAnsi="Arial Narrow" w:cs="Al Bayan Plain"/>
          <w:noProof/>
          <w:lang w:val="hr-HR"/>
        </w:rPr>
      </w:pPr>
    </w:p>
    <w:p w14:paraId="0FAAC2F7" w14:textId="77777777"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46"/>
        <w:jc w:val="both"/>
        <w:rPr>
          <w:rFonts w:ascii="Arial Narrow" w:hAnsi="Arial Narrow" w:cs="Al Bayan Plain"/>
          <w:b/>
          <w:bCs/>
          <w:noProof/>
          <w:lang w:val="hr-HR"/>
        </w:rPr>
      </w:pPr>
      <w:r w:rsidRPr="00EB221F">
        <w:rPr>
          <w:rFonts w:ascii="Arial Narrow" w:hAnsi="Arial Narrow" w:cs="Al Bayan Plain"/>
          <w:b/>
          <w:bCs/>
          <w:noProof/>
          <w:lang w:val="hr-HR"/>
        </w:rPr>
        <w:t>23. Izmjena Uredbe o ocjenjivanju državnih službenika i namještenika</w:t>
      </w:r>
    </w:p>
    <w:p w14:paraId="25062C30" w14:textId="77777777"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46"/>
        <w:jc w:val="both"/>
        <w:rPr>
          <w:rFonts w:ascii="Arial Narrow" w:hAnsi="Arial Narrow" w:cs="Al Bayan Plain"/>
          <w:noProof/>
          <w:lang w:val="hr-HR"/>
        </w:rPr>
      </w:pPr>
    </w:p>
    <w:p w14:paraId="78D9F896" w14:textId="77777777"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46"/>
        <w:jc w:val="both"/>
        <w:rPr>
          <w:rFonts w:ascii="Arial Narrow" w:hAnsi="Arial Narrow" w:cs="Al Bayan Plain"/>
          <w:noProof/>
          <w:lang w:val="hr-HR"/>
        </w:rPr>
      </w:pPr>
      <w:r w:rsidRPr="00EB221F">
        <w:rPr>
          <w:rFonts w:ascii="Arial Narrow" w:hAnsi="Arial Narrow" w:cs="Al Bayan Plain"/>
          <w:noProof/>
          <w:lang w:val="hr-HR"/>
        </w:rPr>
        <w:t>Ocjenjivanje državnih službenika u Crnoj Gori nikada u punoj mjeri nije podrazumijevalo procjenu ostvarenog učinka, između ostalog, i zbog toga što nema obaveze da neposredni rukovodioci unaprijed definišu radne ciljeve koje zaposleni treba da ostvare u datom periodu. Takođe, Uredba nije predvidjela dovoljno proaktivan i pravovremen način pružanja povratnih informacija o učinku državnih službenika, koji mora biti učestao i fokusiran na unaprijed definisane ciljeve kako bi dao suštinske rezultate.</w:t>
      </w:r>
    </w:p>
    <w:p w14:paraId="5D2299D0" w14:textId="77777777"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46"/>
        <w:jc w:val="both"/>
        <w:rPr>
          <w:rFonts w:ascii="Arial Narrow" w:hAnsi="Arial Narrow" w:cs="Al Bayan Plain"/>
          <w:noProof/>
          <w:lang w:val="hr-HR"/>
        </w:rPr>
      </w:pPr>
    </w:p>
    <w:p w14:paraId="13739C34" w14:textId="77777777"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46"/>
        <w:jc w:val="both"/>
        <w:rPr>
          <w:rFonts w:ascii="Arial Narrow" w:hAnsi="Arial Narrow" w:cs="Al Bayan Plain"/>
          <w:noProof/>
          <w:lang w:val="hr-HR"/>
        </w:rPr>
      </w:pPr>
      <w:r w:rsidRPr="00EB221F">
        <w:rPr>
          <w:rFonts w:ascii="Arial Narrow" w:hAnsi="Arial Narrow" w:cs="Al Bayan Plain"/>
          <w:noProof/>
          <w:lang w:val="hr-HR"/>
        </w:rPr>
        <w:t xml:space="preserve">Predlagač: Ministarstvo javne uprave, digitalnog društva i medija </w:t>
      </w:r>
    </w:p>
    <w:p w14:paraId="553C2FFC" w14:textId="77777777"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46"/>
        <w:jc w:val="both"/>
        <w:rPr>
          <w:rFonts w:ascii="Arial Narrow" w:hAnsi="Arial Narrow" w:cs="Al Bayan Plain"/>
          <w:noProof/>
          <w:lang w:val="hr-HR"/>
        </w:rPr>
      </w:pPr>
    </w:p>
    <w:p w14:paraId="0109C020" w14:textId="77777777"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46"/>
        <w:jc w:val="both"/>
        <w:rPr>
          <w:rFonts w:ascii="Arial Narrow" w:hAnsi="Arial Narrow" w:cs="Al Bayan Plain"/>
          <w:noProof/>
          <w:lang w:val="hr-HR"/>
        </w:rPr>
      </w:pPr>
    </w:p>
    <w:p w14:paraId="6E1C3C7A" w14:textId="77777777"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46"/>
        <w:jc w:val="both"/>
        <w:rPr>
          <w:rFonts w:ascii="Arial Narrow" w:hAnsi="Arial Narrow" w:cs="Al Bayan Plain"/>
          <w:b/>
          <w:bCs/>
          <w:noProof/>
          <w:lang w:val="hr-HR"/>
        </w:rPr>
      </w:pPr>
      <w:r w:rsidRPr="00EB221F">
        <w:rPr>
          <w:rFonts w:ascii="Arial Narrow" w:hAnsi="Arial Narrow" w:cs="Al Bayan Plain"/>
          <w:b/>
          <w:bCs/>
          <w:noProof/>
          <w:lang w:val="hr-HR"/>
        </w:rPr>
        <w:t>24. Izvještaj sa javnih konsultacija o redizajnu portala e-Uprava i portala Otvorenih podataka</w:t>
      </w:r>
    </w:p>
    <w:p w14:paraId="4C48FEA5" w14:textId="77777777"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46"/>
        <w:jc w:val="both"/>
        <w:rPr>
          <w:rFonts w:ascii="Arial Narrow" w:hAnsi="Arial Narrow" w:cs="Al Bayan Plain"/>
          <w:noProof/>
          <w:lang w:val="hr-HR"/>
        </w:rPr>
      </w:pPr>
    </w:p>
    <w:p w14:paraId="275DDBBB" w14:textId="77777777"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46"/>
        <w:jc w:val="both"/>
        <w:rPr>
          <w:rFonts w:ascii="Arial Narrow" w:hAnsi="Arial Narrow" w:cs="Al Bayan Plain"/>
          <w:noProof/>
          <w:lang w:val="hr-HR"/>
        </w:rPr>
      </w:pPr>
      <w:r w:rsidRPr="00EB221F">
        <w:rPr>
          <w:rFonts w:ascii="Arial Narrow" w:hAnsi="Arial Narrow" w:cs="Al Bayan Plain"/>
          <w:noProof/>
          <w:lang w:val="hr-HR"/>
        </w:rPr>
        <w:t>Ministarstvo javne uprave, digitalnog društva i medija je zaduženo za upravljanje portalima koji su centralna tačka za pružanje elektronskih usluga, odnosno otvaranje ovih podataka, ali uprkos formiranju radne grupe za unapređenje portala Otvorenih podataka, ovi portali nijesu u dovoljnoj mjeri korisnički orijentisani, što nameće potrebu za drugačijim prikazom dostupnih usluga, odnosno setova podataka, i uvođenje novih usluga i otvaranje novih setova podataka na način koji bi u većoj mjeri uvažio stvarne potrebe građana i građanki. Napominjemo da bi učešće javnosti i zainteresovanih aktera u izradi specifikacija za važne portale i sajtove kojima upravlja Vlada, poput portala e-Uprava, e-Participacija, e-Zdravlje, elektronske nabavke i sl, značajno doprinijelo otvorenosti procesa donošenja odluka, jer iako se čini da je riječ o tehnikalijama, od modula i funkcionalnosti ovih portala u velikoj mjeri zavisi pružanje usluga građanima i građankima.</w:t>
      </w:r>
    </w:p>
    <w:p w14:paraId="56C35BF7" w14:textId="77777777"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46"/>
        <w:jc w:val="both"/>
        <w:rPr>
          <w:rFonts w:ascii="Arial Narrow" w:hAnsi="Arial Narrow" w:cs="Al Bayan Plain"/>
          <w:noProof/>
          <w:lang w:val="hr-HR"/>
        </w:rPr>
      </w:pPr>
    </w:p>
    <w:p w14:paraId="1FABF411" w14:textId="77777777"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46"/>
        <w:jc w:val="both"/>
        <w:rPr>
          <w:rFonts w:ascii="Arial Narrow" w:hAnsi="Arial Narrow" w:cs="Al Bayan Plain"/>
          <w:noProof/>
          <w:lang w:val="hr-HR"/>
        </w:rPr>
      </w:pPr>
      <w:r w:rsidRPr="00EB221F">
        <w:rPr>
          <w:rFonts w:ascii="Arial Narrow" w:hAnsi="Arial Narrow" w:cs="Al Bayan Plain"/>
          <w:noProof/>
          <w:lang w:val="hr-HR"/>
        </w:rPr>
        <w:t xml:space="preserve">Nosilac aktivnosti: Ministarstvo javne uprave, digitalnog društva i medija </w:t>
      </w:r>
    </w:p>
    <w:p w14:paraId="22BEE1C8" w14:textId="7D95EE07"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46"/>
        <w:jc w:val="both"/>
        <w:rPr>
          <w:rFonts w:ascii="Arial Narrow" w:hAnsi="Arial Narrow" w:cs="Al Bayan Plain"/>
          <w:noProof/>
          <w:lang w:val="hr-HR"/>
        </w:rPr>
      </w:pPr>
    </w:p>
    <w:p w14:paraId="7BD97AF3" w14:textId="77777777"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46"/>
        <w:jc w:val="both"/>
        <w:rPr>
          <w:rFonts w:ascii="Arial Narrow" w:hAnsi="Arial Narrow" w:cs="Al Bayan Plain"/>
          <w:noProof/>
          <w:lang w:val="hr-HR"/>
        </w:rPr>
      </w:pPr>
    </w:p>
    <w:p w14:paraId="0FE87294" w14:textId="77777777"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46"/>
        <w:jc w:val="both"/>
        <w:rPr>
          <w:rFonts w:ascii="Arial Narrow" w:hAnsi="Arial Narrow" w:cs="Al Bayan Plain"/>
          <w:b/>
          <w:bCs/>
          <w:noProof/>
          <w:lang w:val="hr-HR"/>
        </w:rPr>
      </w:pPr>
      <w:r w:rsidRPr="00EB221F">
        <w:rPr>
          <w:rFonts w:ascii="Arial Narrow" w:hAnsi="Arial Narrow" w:cs="Al Bayan Plain"/>
          <w:b/>
          <w:bCs/>
          <w:noProof/>
          <w:lang w:val="hr-HR"/>
        </w:rPr>
        <w:t xml:space="preserve">25. </w:t>
      </w:r>
      <w:r w:rsidRPr="00EB221F">
        <w:rPr>
          <w:rFonts w:ascii="Arial Narrow" w:eastAsia="Times New Roman" w:hAnsi="Arial Narrow" w:cs="Al Bayan Plain"/>
          <w:b/>
          <w:bCs/>
          <w:bdr w:val="none" w:sz="0" w:space="0" w:color="auto"/>
          <w:lang w:val="hr-HR"/>
        </w:rPr>
        <w:t xml:space="preserve">Izmjena Uredbe o izboru predstavnika nevladinih organizacija u radna tijela organa državne uprave i </w:t>
      </w:r>
      <w:proofErr w:type="spellStart"/>
      <w:r w:rsidRPr="00EB221F">
        <w:rPr>
          <w:rFonts w:ascii="Arial Narrow" w:eastAsia="Times New Roman" w:hAnsi="Arial Narrow" w:cs="Al Bayan Plain"/>
          <w:b/>
          <w:bCs/>
          <w:bdr w:val="none" w:sz="0" w:space="0" w:color="auto"/>
          <w:lang w:val="hr-HR"/>
        </w:rPr>
        <w:t>sprovođenju</w:t>
      </w:r>
      <w:proofErr w:type="spellEnd"/>
      <w:r w:rsidRPr="00EB221F">
        <w:rPr>
          <w:rFonts w:ascii="Arial Narrow" w:eastAsia="Times New Roman" w:hAnsi="Arial Narrow" w:cs="Al Bayan Plain"/>
          <w:b/>
          <w:bCs/>
          <w:bdr w:val="none" w:sz="0" w:space="0" w:color="auto"/>
          <w:lang w:val="hr-HR"/>
        </w:rPr>
        <w:t xml:space="preserve"> javne rasprave u pripremi zakona i strategija</w:t>
      </w:r>
    </w:p>
    <w:p w14:paraId="63803EBA" w14:textId="77777777"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46"/>
        <w:jc w:val="both"/>
        <w:rPr>
          <w:rFonts w:ascii="Arial Narrow" w:hAnsi="Arial Narrow" w:cs="Al Bayan Plain"/>
          <w:noProof/>
          <w:lang w:val="hr-HR"/>
        </w:rPr>
      </w:pPr>
    </w:p>
    <w:p w14:paraId="49F350CB" w14:textId="06D34519" w:rsidR="00371170" w:rsidRPr="00EB221F" w:rsidRDefault="00371170" w:rsidP="00371170">
      <w:pPr>
        <w:tabs>
          <w:tab w:val="left" w:pos="9072"/>
        </w:tabs>
        <w:ind w:right="-46"/>
        <w:jc w:val="both"/>
        <w:rPr>
          <w:rFonts w:ascii="Arial Narrow" w:eastAsia="Times New Roman" w:hAnsi="Arial Narrow" w:cs="Al Bayan Plain"/>
          <w:sz w:val="22"/>
          <w:szCs w:val="22"/>
          <w:lang w:val="hr-HR"/>
        </w:rPr>
      </w:pPr>
      <w:r w:rsidRPr="00EB221F">
        <w:rPr>
          <w:rFonts w:ascii="Arial Narrow" w:eastAsia="Times New Roman" w:hAnsi="Arial Narrow" w:cs="Al Bayan Plain"/>
          <w:sz w:val="22"/>
          <w:szCs w:val="22"/>
          <w:lang w:val="hr-HR"/>
        </w:rPr>
        <w:t xml:space="preserve">Vlada Crne Gore treba da izvrši izmjenu Uredbe o izboru predstavnika nevladinih organizacija u radna tijela organa državne uprave i </w:t>
      </w:r>
      <w:proofErr w:type="spellStart"/>
      <w:r w:rsidRPr="00EB221F">
        <w:rPr>
          <w:rFonts w:ascii="Arial Narrow" w:eastAsia="Times New Roman" w:hAnsi="Arial Narrow" w:cs="Al Bayan Plain"/>
          <w:sz w:val="22"/>
          <w:szCs w:val="22"/>
          <w:lang w:val="hr-HR"/>
        </w:rPr>
        <w:t>sprovođenju</w:t>
      </w:r>
      <w:proofErr w:type="spellEnd"/>
      <w:r w:rsidRPr="00EB221F">
        <w:rPr>
          <w:rFonts w:ascii="Arial Narrow" w:eastAsia="Times New Roman" w:hAnsi="Arial Narrow" w:cs="Al Bayan Plain"/>
          <w:sz w:val="22"/>
          <w:szCs w:val="22"/>
          <w:lang w:val="hr-HR"/>
        </w:rPr>
        <w:t xml:space="preserve"> javne rasprave u pripremi zakona i strategija, kako bi se omogućilo da i nevladine organizacije koje se bave pitanjem položaja žena i ostalim horizontalnim pitanjima mogu da učestvuju u radnim grupama za izradu zakona, pored člana NVO iz oblasti koja je predmet zakona ili st</w:t>
      </w:r>
      <w:r w:rsidR="00EB221F">
        <w:rPr>
          <w:rFonts w:ascii="Arial Narrow" w:eastAsia="Times New Roman" w:hAnsi="Arial Narrow" w:cs="Al Bayan Plain"/>
          <w:sz w:val="22"/>
          <w:szCs w:val="22"/>
          <w:lang w:val="hr-HR"/>
        </w:rPr>
        <w:t>r</w:t>
      </w:r>
      <w:r w:rsidRPr="00EB221F">
        <w:rPr>
          <w:rFonts w:ascii="Arial Narrow" w:eastAsia="Times New Roman" w:hAnsi="Arial Narrow" w:cs="Al Bayan Plain"/>
          <w:sz w:val="22"/>
          <w:szCs w:val="22"/>
          <w:lang w:val="hr-HR"/>
        </w:rPr>
        <w:t xml:space="preserve">ategije. Trenutna formulacija, koja predviđa da organizacije koje imaju iskustvo u konkretnoj oblasti u praksi ograničavajuće djeluje na potencijalni </w:t>
      </w:r>
      <w:r w:rsidRPr="00EB221F">
        <w:rPr>
          <w:rFonts w:ascii="Arial Narrow" w:eastAsia="Times New Roman" w:hAnsi="Arial Narrow" w:cs="Al Bayan Plain"/>
          <w:sz w:val="22"/>
          <w:szCs w:val="22"/>
          <w:lang w:val="hr-HR"/>
        </w:rPr>
        <w:lastRenderedPageBreak/>
        <w:t xml:space="preserve">doprinos civilnog društva u ranim fazama izrade javnih politika, a nije ni u skladu sa zakonskom obavezom </w:t>
      </w:r>
      <w:proofErr w:type="spellStart"/>
      <w:r w:rsidRPr="00EB221F">
        <w:rPr>
          <w:rFonts w:ascii="Arial Narrow" w:eastAsia="Times New Roman" w:hAnsi="Arial Narrow" w:cs="Al Bayan Plain"/>
          <w:sz w:val="22"/>
          <w:szCs w:val="22"/>
          <w:lang w:val="hr-HR"/>
        </w:rPr>
        <w:t>orodnjavanja</w:t>
      </w:r>
      <w:proofErr w:type="spellEnd"/>
      <w:r w:rsidRPr="00EB221F">
        <w:rPr>
          <w:rFonts w:ascii="Arial Narrow" w:eastAsia="Times New Roman" w:hAnsi="Arial Narrow" w:cs="Al Bayan Plain"/>
          <w:sz w:val="22"/>
          <w:szCs w:val="22"/>
          <w:lang w:val="hr-HR"/>
        </w:rPr>
        <w:t xml:space="preserve"> javnih politika, o čemu smo pisali </w:t>
      </w:r>
      <w:hyperlink r:id="rId10" w:history="1">
        <w:r w:rsidRPr="00EB221F">
          <w:rPr>
            <w:rStyle w:val="Hyperlink"/>
            <w:rFonts w:ascii="Arial Narrow" w:eastAsia="Times New Roman" w:hAnsi="Arial Narrow" w:cs="Al Bayan Plain"/>
            <w:sz w:val="22"/>
            <w:szCs w:val="22"/>
            <w:lang w:val="hr-HR"/>
          </w:rPr>
          <w:t>u analizi koja se bavi ovom temom</w:t>
        </w:r>
      </w:hyperlink>
      <w:r w:rsidRPr="00EB221F">
        <w:rPr>
          <w:rFonts w:ascii="Arial Narrow" w:eastAsia="Times New Roman" w:hAnsi="Arial Narrow" w:cs="Al Bayan Plain"/>
          <w:sz w:val="22"/>
          <w:szCs w:val="22"/>
          <w:lang w:val="hr-HR"/>
        </w:rPr>
        <w:t>.</w:t>
      </w:r>
    </w:p>
    <w:p w14:paraId="166F52D1" w14:textId="77777777" w:rsidR="00371170" w:rsidRPr="00EB221F" w:rsidRDefault="00371170" w:rsidP="00371170">
      <w:pPr>
        <w:tabs>
          <w:tab w:val="left" w:pos="9072"/>
        </w:tabs>
        <w:ind w:right="-46"/>
        <w:jc w:val="both"/>
        <w:rPr>
          <w:rFonts w:ascii="Arial Narrow" w:eastAsia="Times New Roman" w:hAnsi="Arial Narrow" w:cs="Al Bayan Plain"/>
          <w:sz w:val="22"/>
          <w:szCs w:val="22"/>
          <w:lang w:val="hr-HR"/>
        </w:rPr>
      </w:pPr>
    </w:p>
    <w:p w14:paraId="47C8D1F3" w14:textId="77777777" w:rsidR="00371170" w:rsidRPr="00EB221F" w:rsidRDefault="00371170" w:rsidP="00371170">
      <w:pPr>
        <w:tabs>
          <w:tab w:val="left" w:pos="9072"/>
        </w:tabs>
        <w:ind w:right="-46"/>
        <w:jc w:val="both"/>
        <w:rPr>
          <w:rFonts w:ascii="Arial Narrow" w:eastAsia="Times New Roman" w:hAnsi="Arial Narrow" w:cs="Al Bayan Plain"/>
          <w:sz w:val="22"/>
          <w:szCs w:val="22"/>
          <w:lang w:val="hr-HR"/>
        </w:rPr>
      </w:pPr>
      <w:r w:rsidRPr="00EB221F">
        <w:rPr>
          <w:rFonts w:ascii="Arial Narrow" w:eastAsia="Times New Roman" w:hAnsi="Arial Narrow" w:cs="Al Bayan Plain"/>
          <w:sz w:val="22"/>
          <w:szCs w:val="22"/>
          <w:lang w:val="hr-HR"/>
        </w:rPr>
        <w:t xml:space="preserve">Nosilac aktivnosti: Ministarstvo javne uprave, digitalnog društva i medija </w:t>
      </w:r>
    </w:p>
    <w:p w14:paraId="7E2B2FB0" w14:textId="372FCC9E"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618"/>
        <w:jc w:val="both"/>
        <w:rPr>
          <w:rFonts w:ascii="Arial Narrow" w:hAnsi="Arial Narrow" w:cs="Al Bayan Plain"/>
          <w:noProof/>
          <w:lang w:val="hr-HR"/>
        </w:rPr>
      </w:pPr>
    </w:p>
    <w:p w14:paraId="3FC99454" w14:textId="77777777"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618"/>
        <w:jc w:val="both"/>
        <w:rPr>
          <w:rFonts w:ascii="Arial Narrow" w:hAnsi="Arial Narrow" w:cs="Al Bayan Plain"/>
          <w:noProof/>
          <w:lang w:val="hr-HR"/>
        </w:rPr>
      </w:pPr>
    </w:p>
    <w:p w14:paraId="5B770F20" w14:textId="22306F6F"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618"/>
        <w:jc w:val="both"/>
        <w:rPr>
          <w:rFonts w:ascii="Arial Narrow" w:hAnsi="Arial Narrow" w:cs="Al Bayan Plain"/>
          <w:b/>
          <w:bCs/>
          <w:noProof/>
          <w:lang w:val="hr-HR"/>
        </w:rPr>
      </w:pPr>
      <w:r w:rsidRPr="00EB221F">
        <w:rPr>
          <w:rFonts w:ascii="Arial Narrow" w:hAnsi="Arial Narrow" w:cs="Al Bayan Plain"/>
          <w:b/>
          <w:bCs/>
          <w:noProof/>
          <w:lang w:val="hr-HR"/>
        </w:rPr>
        <w:t>26. Informacija o upravljanju privrednim društvima u većinskom vlasništvu države sa prijedlogom mjera</w:t>
      </w:r>
    </w:p>
    <w:p w14:paraId="6CA9D6E7" w14:textId="77777777"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618"/>
        <w:jc w:val="both"/>
        <w:rPr>
          <w:rFonts w:ascii="Arial Narrow" w:hAnsi="Arial Narrow" w:cs="Al Bayan Plain"/>
          <w:noProof/>
          <w:lang w:val="hr-HR"/>
        </w:rPr>
      </w:pPr>
    </w:p>
    <w:p w14:paraId="018C1D7E" w14:textId="1F591085"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618"/>
        <w:jc w:val="both"/>
        <w:rPr>
          <w:rFonts w:ascii="Arial Narrow" w:hAnsi="Arial Narrow" w:cs="Al Bayan Plain"/>
          <w:noProof/>
          <w:lang w:val="hr-HR"/>
        </w:rPr>
      </w:pPr>
      <w:r w:rsidRPr="00EB221F">
        <w:rPr>
          <w:rFonts w:ascii="Arial Narrow" w:hAnsi="Arial Narrow" w:cs="Al Bayan Plain"/>
          <w:noProof/>
          <w:lang w:val="hr-HR"/>
        </w:rPr>
        <w:t>Rad preduzeća u većinskom vlasništvu države mora biti dodatno regulisan – posebnim aktom ili dopunom postojećeg Zakona o privrednim društvima – kako bi se uveli mehanizmi preko kojih bi država mogla efikasnije i bolje da upravlja preduzećima, a ona bila transparentnija i odgovornija za poslove koji su im povjereni i imovinu kojom upravljaju. Činjenica da vladini zaključci bivaju ignorisani govori o sistemskom problemu u komunikaciji između vlasnika i preduzeća. Vlada treba razmotri načine za bolje regulisanje rada ovih privrednih društava koji bi doprinijeli rješavanju problema u održivosti, transprentnosti i odgovornosti ovih privrednih društava, u skladu sa najboljim uporednim praksama i standardima dobrog korporativnog upravljanja ovom vrstom privrednig društava koje je definisao OECD.</w:t>
      </w:r>
    </w:p>
    <w:p w14:paraId="77540D3D" w14:textId="77777777"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618"/>
        <w:jc w:val="both"/>
        <w:rPr>
          <w:rFonts w:ascii="Arial Narrow" w:hAnsi="Arial Narrow" w:cs="Al Bayan Plain"/>
          <w:noProof/>
          <w:lang w:val="hr-HR"/>
        </w:rPr>
      </w:pPr>
    </w:p>
    <w:p w14:paraId="6E8CCC47" w14:textId="2C62A8C3"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618"/>
        <w:jc w:val="both"/>
        <w:rPr>
          <w:rFonts w:ascii="Arial Narrow" w:hAnsi="Arial Narrow" w:cs="Al Bayan Plain"/>
          <w:noProof/>
          <w:lang w:val="hr-HR"/>
        </w:rPr>
      </w:pPr>
      <w:r w:rsidRPr="00EB221F">
        <w:rPr>
          <w:rFonts w:ascii="Arial Narrow" w:hAnsi="Arial Narrow" w:cs="Al Bayan Plain"/>
          <w:noProof/>
          <w:lang w:val="hr-HR"/>
        </w:rPr>
        <w:t>Predlagač: Ministarstvo finansija i socijalnog staranja i Ministarstvo kapitalnih investicija</w:t>
      </w:r>
    </w:p>
    <w:p w14:paraId="2A85B38F" w14:textId="77777777"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618"/>
        <w:jc w:val="both"/>
        <w:rPr>
          <w:rFonts w:ascii="Arial Narrow" w:hAnsi="Arial Narrow" w:cs="Al Bayan Plain"/>
          <w:noProof/>
          <w:lang w:val="hr-HR"/>
        </w:rPr>
      </w:pPr>
    </w:p>
    <w:p w14:paraId="664640D9" w14:textId="77777777"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618"/>
        <w:jc w:val="both"/>
        <w:rPr>
          <w:rFonts w:ascii="Arial Narrow" w:hAnsi="Arial Narrow" w:cs="Al Bayan Plain"/>
          <w:noProof/>
          <w:lang w:val="hr-HR"/>
        </w:rPr>
      </w:pPr>
    </w:p>
    <w:p w14:paraId="240C1328" w14:textId="77777777" w:rsidR="00371170" w:rsidRPr="00EB221F" w:rsidRDefault="00371170" w:rsidP="003711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right="618"/>
        <w:jc w:val="both"/>
        <w:rPr>
          <w:rFonts w:ascii="Arial Narrow" w:hAnsi="Arial Narrow" w:cs="Al Bayan Plain"/>
          <w:noProof/>
          <w:lang w:val="hr-HR"/>
        </w:rPr>
      </w:pPr>
    </w:p>
    <w:p w14:paraId="73C79D08" w14:textId="77777777" w:rsidR="00371170" w:rsidRPr="00EB221F" w:rsidRDefault="00371170" w:rsidP="008F778A">
      <w:pPr>
        <w:spacing w:after="120"/>
        <w:jc w:val="both"/>
        <w:rPr>
          <w:rFonts w:ascii="Arial Narrow" w:hAnsi="Arial Narrow"/>
          <w:lang w:val="hr-HR"/>
        </w:rPr>
      </w:pPr>
    </w:p>
    <w:p w14:paraId="3E2A1F22" w14:textId="3E704303" w:rsidR="008C321A" w:rsidRPr="00EB221F" w:rsidRDefault="008C321A" w:rsidP="008F778A">
      <w:pPr>
        <w:spacing w:after="120"/>
        <w:jc w:val="both"/>
        <w:rPr>
          <w:rFonts w:ascii="Arial Narrow" w:hAnsi="Arial Narrow"/>
          <w:lang w:val="hr-HR"/>
        </w:rPr>
      </w:pPr>
      <w:r w:rsidRPr="00EB221F">
        <w:rPr>
          <w:rFonts w:ascii="Arial Narrow" w:hAnsi="Arial Narrow"/>
          <w:lang w:val="hr-HR"/>
        </w:rPr>
        <w:t xml:space="preserve">Jeste li </w:t>
      </w:r>
      <w:proofErr w:type="spellStart"/>
      <w:r w:rsidRPr="00EB221F">
        <w:rPr>
          <w:rFonts w:ascii="Arial Narrow" w:hAnsi="Arial Narrow"/>
          <w:lang w:val="hr-HR"/>
        </w:rPr>
        <w:t>saglasni</w:t>
      </w:r>
      <w:proofErr w:type="spellEnd"/>
      <w:r w:rsidRPr="00EB221F">
        <w:rPr>
          <w:rFonts w:ascii="Arial Narrow" w:hAnsi="Arial Narrow"/>
          <w:lang w:val="hr-HR"/>
        </w:rPr>
        <w:t xml:space="preserve"> da Vas kontaktiramo prilikom pripreme budućih srednjoročnih i godišnjih programa rada Vlade?</w:t>
      </w:r>
    </w:p>
    <w:p w14:paraId="70F93530" w14:textId="77777777" w:rsidR="008C321A" w:rsidRPr="00EB221F" w:rsidRDefault="008C321A" w:rsidP="008C321A">
      <w:pPr>
        <w:pStyle w:val="ListParagraph"/>
        <w:numPr>
          <w:ilvl w:val="0"/>
          <w:numId w:val="3"/>
        </w:numPr>
        <w:spacing w:after="120"/>
        <w:jc w:val="both"/>
        <w:rPr>
          <w:rFonts w:ascii="Arial Narrow" w:hAnsi="Arial Narrow"/>
          <w:b/>
          <w:bCs/>
          <w:highlight w:val="yellow"/>
          <w:lang w:val="hr-HR"/>
        </w:rPr>
      </w:pPr>
      <w:r w:rsidRPr="00EB221F">
        <w:rPr>
          <w:rFonts w:ascii="Arial Narrow" w:hAnsi="Arial Narrow"/>
          <w:b/>
          <w:bCs/>
          <w:highlight w:val="yellow"/>
          <w:lang w:val="hr-HR"/>
        </w:rPr>
        <w:t>Da</w:t>
      </w:r>
    </w:p>
    <w:p w14:paraId="237A6A7A" w14:textId="77777777" w:rsidR="008C321A" w:rsidRPr="00EB221F" w:rsidRDefault="008C321A" w:rsidP="008C321A">
      <w:pPr>
        <w:pStyle w:val="ListParagraph"/>
        <w:numPr>
          <w:ilvl w:val="0"/>
          <w:numId w:val="3"/>
        </w:numPr>
        <w:spacing w:after="120"/>
        <w:jc w:val="both"/>
        <w:rPr>
          <w:rFonts w:ascii="Arial Narrow" w:hAnsi="Arial Narrow"/>
          <w:lang w:val="hr-HR"/>
        </w:rPr>
      </w:pPr>
      <w:r w:rsidRPr="00EB221F">
        <w:rPr>
          <w:rFonts w:ascii="Arial Narrow" w:hAnsi="Arial Narrow"/>
          <w:lang w:val="hr-HR"/>
        </w:rPr>
        <w:t>Ne</w:t>
      </w:r>
    </w:p>
    <w:p w14:paraId="2A537D7F" w14:textId="77777777" w:rsidR="008C321A" w:rsidRPr="00EB221F" w:rsidRDefault="008C321A" w:rsidP="008C321A">
      <w:pPr>
        <w:spacing w:after="120"/>
        <w:jc w:val="both"/>
        <w:rPr>
          <w:rFonts w:ascii="Arial Narrow" w:hAnsi="Arial Narrow"/>
          <w:lang w:val="hr-HR"/>
        </w:rPr>
      </w:pPr>
    </w:p>
    <w:p w14:paraId="60024D4C" w14:textId="77777777" w:rsidR="008C321A" w:rsidRPr="00EB221F" w:rsidRDefault="008C321A" w:rsidP="008F778A">
      <w:pPr>
        <w:spacing w:after="120"/>
        <w:jc w:val="both"/>
        <w:rPr>
          <w:rFonts w:ascii="Arial Narrow" w:hAnsi="Arial Narrow"/>
          <w:lang w:val="hr-HR"/>
        </w:rPr>
      </w:pPr>
    </w:p>
    <w:sectPr w:rsidR="008C321A" w:rsidRPr="00EB221F" w:rsidSect="008F778A">
      <w:headerReference w:type="default" r:id="rId11"/>
      <w:footerReference w:type="default" r:id="rId12"/>
      <w:pgSz w:w="11906" w:h="16838"/>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314CC1" w14:textId="77777777" w:rsidR="00EC674F" w:rsidRDefault="00EC674F" w:rsidP="008F778A">
      <w:r>
        <w:separator/>
      </w:r>
    </w:p>
  </w:endnote>
  <w:endnote w:type="continuationSeparator" w:id="0">
    <w:p w14:paraId="634A77E2" w14:textId="77777777" w:rsidR="00EC674F" w:rsidRDefault="00EC674F" w:rsidP="008F7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altName w:val="﷽﷽﷽﷽﷽﷽﷽﷽a Neue"/>
    <w:panose1 w:val="02000503000000020004"/>
    <w:charset w:val="00"/>
    <w:family w:val="auto"/>
    <w:pitch w:val="variable"/>
    <w:sig w:usb0="E50002FF" w:usb1="500079DB" w:usb2="0000001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l Bayan Plain">
    <w:altName w:val="﷽﷽﷽﷽﷽﷽﷽﷽ PLAIN"/>
    <w:panose1 w:val="00000000000000000000"/>
    <w:charset w:val="B2"/>
    <w:family w:val="auto"/>
    <w:pitch w:val="variable"/>
    <w:sig w:usb0="00002001" w:usb1="00000000" w:usb2="00000008" w:usb3="00000000" w:csb0="0000004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4645243"/>
      <w:docPartObj>
        <w:docPartGallery w:val="Page Numbers (Bottom of Page)"/>
        <w:docPartUnique/>
      </w:docPartObj>
    </w:sdtPr>
    <w:sdtEndPr>
      <w:rPr>
        <w:rFonts w:ascii="Arial Narrow" w:hAnsi="Arial Narrow"/>
        <w:noProof/>
      </w:rPr>
    </w:sdtEndPr>
    <w:sdtContent>
      <w:p w14:paraId="3D1F8B08" w14:textId="77777777" w:rsidR="008C321A" w:rsidRPr="008C321A" w:rsidRDefault="008C321A">
        <w:pPr>
          <w:pStyle w:val="Footer"/>
          <w:jc w:val="right"/>
          <w:rPr>
            <w:rFonts w:ascii="Arial Narrow" w:hAnsi="Arial Narrow"/>
          </w:rPr>
        </w:pPr>
        <w:r w:rsidRPr="008C321A">
          <w:rPr>
            <w:rFonts w:ascii="Arial Narrow" w:hAnsi="Arial Narrow"/>
          </w:rPr>
          <w:fldChar w:fldCharType="begin"/>
        </w:r>
        <w:r w:rsidRPr="008C321A">
          <w:rPr>
            <w:rFonts w:ascii="Arial Narrow" w:hAnsi="Arial Narrow"/>
          </w:rPr>
          <w:instrText xml:space="preserve"> PAGE   \* MERGEFORMAT </w:instrText>
        </w:r>
        <w:r w:rsidRPr="008C321A">
          <w:rPr>
            <w:rFonts w:ascii="Arial Narrow" w:hAnsi="Arial Narrow"/>
          </w:rPr>
          <w:fldChar w:fldCharType="separate"/>
        </w:r>
        <w:r w:rsidR="0051000A">
          <w:rPr>
            <w:rFonts w:ascii="Arial Narrow" w:hAnsi="Arial Narrow"/>
            <w:noProof/>
          </w:rPr>
          <w:t>1</w:t>
        </w:r>
        <w:r w:rsidRPr="008C321A">
          <w:rPr>
            <w:rFonts w:ascii="Arial Narrow" w:hAnsi="Arial Narrow"/>
            <w:noProof/>
          </w:rPr>
          <w:fldChar w:fldCharType="end"/>
        </w:r>
      </w:p>
    </w:sdtContent>
  </w:sdt>
  <w:p w14:paraId="7E258021" w14:textId="77777777" w:rsidR="008C321A" w:rsidRDefault="008C32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568664" w14:textId="77777777" w:rsidR="00EC674F" w:rsidRDefault="00EC674F" w:rsidP="008F778A">
      <w:r>
        <w:separator/>
      </w:r>
    </w:p>
  </w:footnote>
  <w:footnote w:type="continuationSeparator" w:id="0">
    <w:p w14:paraId="3DF7C62F" w14:textId="77777777" w:rsidR="00EC674F" w:rsidRDefault="00EC674F" w:rsidP="008F7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F00E7" w14:textId="77777777" w:rsidR="008F778A" w:rsidRDefault="008F778A" w:rsidP="008F778A">
    <w:pPr>
      <w:pStyle w:val="Header"/>
      <w:ind w:left="-1440"/>
    </w:pPr>
    <w:r w:rsidRPr="008F778A">
      <w:rPr>
        <w:noProof/>
        <w:lang w:eastAsia="en-GB"/>
      </w:rPr>
      <w:drawing>
        <wp:inline distT="0" distB="0" distL="0" distR="0" wp14:anchorId="45517ED9" wp14:editId="627C2232">
          <wp:extent cx="764286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6983" cy="6861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D80EB5"/>
    <w:multiLevelType w:val="hybridMultilevel"/>
    <w:tmpl w:val="56DCB73C"/>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15:restartNumberingAfterBreak="0">
    <w:nsid w:val="2C7D7052"/>
    <w:multiLevelType w:val="hybridMultilevel"/>
    <w:tmpl w:val="AD32C86A"/>
    <w:styleLink w:val="Puce"/>
    <w:lvl w:ilvl="0" w:tplc="3D74EAF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D3E58C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77055E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5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78C2F2">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3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106B67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1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FA21EF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9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CE8623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2C041E">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5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4EB4D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423231C1"/>
    <w:multiLevelType w:val="hybridMultilevel"/>
    <w:tmpl w:val="794486FC"/>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15:restartNumberingAfterBreak="0">
    <w:nsid w:val="4D656DEF"/>
    <w:multiLevelType w:val="hybridMultilevel"/>
    <w:tmpl w:val="EAD8FF7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 w15:restartNumberingAfterBreak="0">
    <w:nsid w:val="4DD934AD"/>
    <w:multiLevelType w:val="hybridMultilevel"/>
    <w:tmpl w:val="AD32C86A"/>
    <w:numStyleLink w:val="Puce"/>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ED4"/>
    <w:rsid w:val="001B47E3"/>
    <w:rsid w:val="00211ED4"/>
    <w:rsid w:val="00346C9D"/>
    <w:rsid w:val="00371170"/>
    <w:rsid w:val="003C7AD1"/>
    <w:rsid w:val="00493A28"/>
    <w:rsid w:val="0051000A"/>
    <w:rsid w:val="005D7B93"/>
    <w:rsid w:val="006E4CDA"/>
    <w:rsid w:val="008C321A"/>
    <w:rsid w:val="008E6702"/>
    <w:rsid w:val="008F778A"/>
    <w:rsid w:val="00A75734"/>
    <w:rsid w:val="00AF2F59"/>
    <w:rsid w:val="00B450F0"/>
    <w:rsid w:val="00C366F6"/>
    <w:rsid w:val="00C52BEF"/>
    <w:rsid w:val="00CF2B02"/>
    <w:rsid w:val="00E72BE8"/>
    <w:rsid w:val="00E86C38"/>
    <w:rsid w:val="00E94724"/>
    <w:rsid w:val="00EB221F"/>
    <w:rsid w:val="00EC674F"/>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0AD87"/>
  <w15:chartTrackingRefBased/>
  <w15:docId w15:val="{B1F068BC-0C9E-4CF0-9390-6F91392EB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ED4"/>
    <w:pPr>
      <w:spacing w:after="0" w:line="240" w:lineRule="auto"/>
    </w:pPr>
    <w:rPr>
      <w:sz w:val="24"/>
      <w:szCs w:val="24"/>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ED4"/>
    <w:pPr>
      <w:ind w:left="720"/>
      <w:contextualSpacing/>
    </w:pPr>
  </w:style>
  <w:style w:type="paragraph" w:styleId="Header">
    <w:name w:val="header"/>
    <w:basedOn w:val="Normal"/>
    <w:link w:val="HeaderChar"/>
    <w:uiPriority w:val="99"/>
    <w:unhideWhenUsed/>
    <w:rsid w:val="008F778A"/>
    <w:pPr>
      <w:tabs>
        <w:tab w:val="center" w:pos="4513"/>
        <w:tab w:val="right" w:pos="9026"/>
      </w:tabs>
    </w:pPr>
  </w:style>
  <w:style w:type="character" w:customStyle="1" w:styleId="HeaderChar">
    <w:name w:val="Header Char"/>
    <w:basedOn w:val="DefaultParagraphFont"/>
    <w:link w:val="Header"/>
    <w:uiPriority w:val="99"/>
    <w:rsid w:val="008F778A"/>
    <w:rPr>
      <w:sz w:val="24"/>
      <w:szCs w:val="24"/>
      <w:lang w:val="en-GB"/>
    </w:rPr>
  </w:style>
  <w:style w:type="paragraph" w:styleId="Footer">
    <w:name w:val="footer"/>
    <w:basedOn w:val="Normal"/>
    <w:link w:val="FooterChar"/>
    <w:uiPriority w:val="99"/>
    <w:unhideWhenUsed/>
    <w:rsid w:val="008F778A"/>
    <w:pPr>
      <w:tabs>
        <w:tab w:val="center" w:pos="4513"/>
        <w:tab w:val="right" w:pos="9026"/>
      </w:tabs>
    </w:pPr>
  </w:style>
  <w:style w:type="character" w:customStyle="1" w:styleId="FooterChar">
    <w:name w:val="Footer Char"/>
    <w:basedOn w:val="DefaultParagraphFont"/>
    <w:link w:val="Footer"/>
    <w:uiPriority w:val="99"/>
    <w:rsid w:val="008F778A"/>
    <w:rPr>
      <w:sz w:val="24"/>
      <w:szCs w:val="24"/>
      <w:lang w:val="en-GB"/>
    </w:rPr>
  </w:style>
  <w:style w:type="table" w:styleId="TableGrid">
    <w:name w:val="Table Grid"/>
    <w:basedOn w:val="TableNormal"/>
    <w:uiPriority w:val="39"/>
    <w:rsid w:val="00E72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71170"/>
    <w:rPr>
      <w:u w:val="single"/>
    </w:rPr>
  </w:style>
  <w:style w:type="paragraph" w:customStyle="1" w:styleId="Pardfaut">
    <w:name w:val="Par défaut"/>
    <w:rsid w:val="0037117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fr-FR" w:eastAsia="fr-FR"/>
    </w:rPr>
  </w:style>
  <w:style w:type="numbering" w:customStyle="1" w:styleId="Puce">
    <w:name w:val="Puce"/>
    <w:rsid w:val="00371170"/>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7940143">
      <w:bodyDiv w:val="1"/>
      <w:marLeft w:val="0"/>
      <w:marRight w:val="0"/>
      <w:marTop w:val="0"/>
      <w:marBottom w:val="0"/>
      <w:divBdr>
        <w:top w:val="none" w:sz="0" w:space="0" w:color="auto"/>
        <w:left w:val="none" w:sz="0" w:space="0" w:color="auto"/>
        <w:bottom w:val="none" w:sz="0" w:space="0" w:color="auto"/>
        <w:right w:val="none" w:sz="0" w:space="0" w:color="auto"/>
      </w:divBdr>
      <w:divsChild>
        <w:div w:id="837162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2490469">
              <w:marLeft w:val="0"/>
              <w:marRight w:val="0"/>
              <w:marTop w:val="0"/>
              <w:marBottom w:val="0"/>
              <w:divBdr>
                <w:top w:val="none" w:sz="0" w:space="0" w:color="auto"/>
                <w:left w:val="none" w:sz="0" w:space="0" w:color="auto"/>
                <w:bottom w:val="none" w:sz="0" w:space="0" w:color="auto"/>
                <w:right w:val="none" w:sz="0" w:space="0" w:color="auto"/>
              </w:divBdr>
              <w:divsChild>
                <w:div w:id="88088420">
                  <w:marLeft w:val="0"/>
                  <w:marRight w:val="0"/>
                  <w:marTop w:val="0"/>
                  <w:marBottom w:val="0"/>
                  <w:divBdr>
                    <w:top w:val="none" w:sz="0" w:space="0" w:color="auto"/>
                    <w:left w:val="none" w:sz="0" w:space="0" w:color="auto"/>
                    <w:bottom w:val="none" w:sz="0" w:space="0" w:color="auto"/>
                    <w:right w:val="none" w:sz="0" w:space="0" w:color="auto"/>
                  </w:divBdr>
                  <w:divsChild>
                    <w:div w:id="1663466465">
                      <w:marLeft w:val="0"/>
                      <w:marRight w:val="0"/>
                      <w:marTop w:val="0"/>
                      <w:marBottom w:val="0"/>
                      <w:divBdr>
                        <w:top w:val="none" w:sz="0" w:space="0" w:color="auto"/>
                        <w:left w:val="none" w:sz="0" w:space="0" w:color="auto"/>
                        <w:bottom w:val="none" w:sz="0" w:space="0" w:color="auto"/>
                        <w:right w:val="none" w:sz="0" w:space="0" w:color="auto"/>
                      </w:divBdr>
                      <w:divsChild>
                        <w:div w:id="927620095">
                          <w:marLeft w:val="0"/>
                          <w:marRight w:val="0"/>
                          <w:marTop w:val="0"/>
                          <w:marBottom w:val="0"/>
                          <w:divBdr>
                            <w:top w:val="none" w:sz="0" w:space="0" w:color="auto"/>
                            <w:left w:val="none" w:sz="0" w:space="0" w:color="auto"/>
                            <w:bottom w:val="none" w:sz="0" w:space="0" w:color="auto"/>
                            <w:right w:val="none" w:sz="0" w:space="0" w:color="auto"/>
                          </w:divBdr>
                          <w:divsChild>
                            <w:div w:id="1100178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048661">
                                  <w:marLeft w:val="0"/>
                                  <w:marRight w:val="0"/>
                                  <w:marTop w:val="0"/>
                                  <w:marBottom w:val="0"/>
                                  <w:divBdr>
                                    <w:top w:val="none" w:sz="0" w:space="0" w:color="auto"/>
                                    <w:left w:val="none" w:sz="0" w:space="0" w:color="auto"/>
                                    <w:bottom w:val="none" w:sz="0" w:space="0" w:color="auto"/>
                                    <w:right w:val="none" w:sz="0" w:space="0" w:color="auto"/>
                                  </w:divBdr>
                                  <w:divsChild>
                                    <w:div w:id="1107503328">
                                      <w:marLeft w:val="0"/>
                                      <w:marRight w:val="0"/>
                                      <w:marTop w:val="0"/>
                                      <w:marBottom w:val="0"/>
                                      <w:divBdr>
                                        <w:top w:val="none" w:sz="0" w:space="0" w:color="auto"/>
                                        <w:left w:val="none" w:sz="0" w:space="0" w:color="auto"/>
                                        <w:bottom w:val="none" w:sz="0" w:space="0" w:color="auto"/>
                                        <w:right w:val="none" w:sz="0" w:space="0" w:color="auto"/>
                                      </w:divBdr>
                                      <w:divsChild>
                                        <w:div w:id="1737246216">
                                          <w:marLeft w:val="0"/>
                                          <w:marRight w:val="0"/>
                                          <w:marTop w:val="0"/>
                                          <w:marBottom w:val="0"/>
                                          <w:divBdr>
                                            <w:top w:val="none" w:sz="0" w:space="0" w:color="auto"/>
                                            <w:left w:val="none" w:sz="0" w:space="0" w:color="auto"/>
                                            <w:bottom w:val="none" w:sz="0" w:space="0" w:color="auto"/>
                                            <w:right w:val="none" w:sz="0" w:space="0" w:color="auto"/>
                                          </w:divBdr>
                                          <w:divsChild>
                                            <w:div w:id="682786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1528556">
                                                  <w:marLeft w:val="0"/>
                                                  <w:marRight w:val="0"/>
                                                  <w:marTop w:val="0"/>
                                                  <w:marBottom w:val="0"/>
                                                  <w:divBdr>
                                                    <w:top w:val="none" w:sz="0" w:space="0" w:color="auto"/>
                                                    <w:left w:val="none" w:sz="0" w:space="0" w:color="auto"/>
                                                    <w:bottom w:val="none" w:sz="0" w:space="0" w:color="auto"/>
                                                    <w:right w:val="none" w:sz="0" w:space="0" w:color="auto"/>
                                                  </w:divBdr>
                                                  <w:divsChild>
                                                    <w:div w:id="682124475">
                                                      <w:marLeft w:val="0"/>
                                                      <w:marRight w:val="0"/>
                                                      <w:marTop w:val="0"/>
                                                      <w:marBottom w:val="0"/>
                                                      <w:divBdr>
                                                        <w:top w:val="none" w:sz="0" w:space="0" w:color="auto"/>
                                                        <w:left w:val="none" w:sz="0" w:space="0" w:color="auto"/>
                                                        <w:bottom w:val="none" w:sz="0" w:space="0" w:color="auto"/>
                                                        <w:right w:val="none" w:sz="0" w:space="0" w:color="auto"/>
                                                      </w:divBdr>
                                                      <w:divsChild>
                                                        <w:div w:id="1693653296">
                                                          <w:blockQuote w:val="1"/>
                                                          <w:marLeft w:val="600"/>
                                                          <w:marRight w:val="0"/>
                                                          <w:marTop w:val="0"/>
                                                          <w:marBottom w:val="0"/>
                                                          <w:divBdr>
                                                            <w:top w:val="none" w:sz="0" w:space="0" w:color="auto"/>
                                                            <w:left w:val="none" w:sz="0" w:space="0" w:color="auto"/>
                                                            <w:bottom w:val="none" w:sz="0" w:space="0" w:color="auto"/>
                                                            <w:right w:val="none" w:sz="0" w:space="0" w:color="auto"/>
                                                          </w:divBdr>
                                                          <w:divsChild>
                                                            <w:div w:id="1056009763">
                                                              <w:marLeft w:val="0"/>
                                                              <w:marRight w:val="0"/>
                                                              <w:marTop w:val="0"/>
                                                              <w:marBottom w:val="0"/>
                                                              <w:divBdr>
                                                                <w:top w:val="none" w:sz="0" w:space="0" w:color="auto"/>
                                                                <w:left w:val="none" w:sz="0" w:space="0" w:color="auto"/>
                                                                <w:bottom w:val="none" w:sz="0" w:space="0" w:color="auto"/>
                                                                <w:right w:val="none" w:sz="0" w:space="0" w:color="auto"/>
                                                              </w:divBdr>
                                                            </w:div>
                                                            <w:div w:id="1512984678">
                                                              <w:marLeft w:val="0"/>
                                                              <w:marRight w:val="0"/>
                                                              <w:marTop w:val="0"/>
                                                              <w:marBottom w:val="0"/>
                                                              <w:divBdr>
                                                                <w:top w:val="none" w:sz="0" w:space="0" w:color="auto"/>
                                                                <w:left w:val="none" w:sz="0" w:space="0" w:color="auto"/>
                                                                <w:bottom w:val="none" w:sz="0" w:space="0" w:color="auto"/>
                                                                <w:right w:val="none" w:sz="0" w:space="0" w:color="auto"/>
                                                              </w:divBdr>
                                                              <w:divsChild>
                                                                <w:div w:id="1275285825">
                                                                  <w:marLeft w:val="720"/>
                                                                  <w:marRight w:val="0"/>
                                                                  <w:marTop w:val="0"/>
                                                                  <w:marBottom w:val="0"/>
                                                                  <w:divBdr>
                                                                    <w:top w:val="none" w:sz="0" w:space="0" w:color="auto"/>
                                                                    <w:left w:val="none" w:sz="0" w:space="0" w:color="auto"/>
                                                                    <w:bottom w:val="none" w:sz="0" w:space="0" w:color="auto"/>
                                                                    <w:right w:val="none" w:sz="0" w:space="0" w:color="auto"/>
                                                                  </w:divBdr>
                                                                </w:div>
                                                              </w:divsChild>
                                                            </w:div>
                                                            <w:div w:id="78522234">
                                                              <w:marLeft w:val="0"/>
                                                              <w:marRight w:val="0"/>
                                                              <w:marTop w:val="0"/>
                                                              <w:marBottom w:val="0"/>
                                                              <w:divBdr>
                                                                <w:top w:val="none" w:sz="0" w:space="0" w:color="auto"/>
                                                                <w:left w:val="none" w:sz="0" w:space="0" w:color="auto"/>
                                                                <w:bottom w:val="none" w:sz="0" w:space="0" w:color="auto"/>
                                                                <w:right w:val="none" w:sz="0" w:space="0" w:color="auto"/>
                                                              </w:divBdr>
                                                            </w:div>
                                                            <w:div w:id="147867622">
                                                              <w:marLeft w:val="0"/>
                                                              <w:marRight w:val="0"/>
                                                              <w:marTop w:val="0"/>
                                                              <w:marBottom w:val="0"/>
                                                              <w:divBdr>
                                                                <w:top w:val="none" w:sz="0" w:space="0" w:color="auto"/>
                                                                <w:left w:val="none" w:sz="0" w:space="0" w:color="auto"/>
                                                                <w:bottom w:val="none" w:sz="0" w:space="0" w:color="auto"/>
                                                                <w:right w:val="none" w:sz="0" w:space="0" w:color="auto"/>
                                                              </w:divBdr>
                                                            </w:div>
                                                          </w:divsChild>
                                                        </w:div>
                                                        <w:div w:id="114878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media.institut-alternativa.org/2021/02/Orodnjavanje-a-ne-prebrojavanje-4.pdf" TargetMode="External"/><Relationship Id="rId4" Type="http://schemas.openxmlformats.org/officeDocument/2006/relationships/settings" Target="settings.xml"/><Relationship Id="rId9" Type="http://schemas.openxmlformats.org/officeDocument/2006/relationships/hyperlink" Target="https://institut-alternativa.org/jaka-budzetska-inspekcija-u-tri-korak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BAF8E-AED7-44F1-9755-8BF4B5940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3923</Words>
  <Characters>22367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Almedina Vukic</dc:creator>
  <cp:keywords/>
  <dc:description/>
  <cp:lastModifiedBy>Marko Sošić</cp:lastModifiedBy>
  <cp:revision>3</cp:revision>
  <dcterms:created xsi:type="dcterms:W3CDTF">2021-03-01T12:02:00Z</dcterms:created>
  <dcterms:modified xsi:type="dcterms:W3CDTF">2021-03-01T12:10:00Z</dcterms:modified>
</cp:coreProperties>
</file>